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10C48" w14:textId="77777777" w:rsidR="005F19DE" w:rsidRDefault="002E5059" w:rsidP="002E5059">
      <w:pPr>
        <w:jc w:val="center"/>
        <w:rPr>
          <w:rFonts w:ascii="Newzald Book" w:hAnsi="Newzald Book"/>
          <w:b/>
          <w:bCs/>
          <w:i/>
          <w:iCs/>
          <w:color w:val="1A1730"/>
          <w:sz w:val="28"/>
          <w:szCs w:val="28"/>
        </w:rPr>
      </w:pPr>
      <w:r w:rsidRPr="00DE4AE9">
        <w:rPr>
          <w:rFonts w:ascii="Newzald Book" w:hAnsi="Newzald Book"/>
          <w:b/>
          <w:bCs/>
          <w:i/>
          <w:iCs/>
          <w:color w:val="1A1730"/>
          <w:sz w:val="28"/>
          <w:szCs w:val="28"/>
        </w:rPr>
        <w:softHyphen/>
      </w:r>
      <w:r w:rsidRPr="00DE4AE9">
        <w:rPr>
          <w:rFonts w:ascii="Newzald Book" w:hAnsi="Newzald Book"/>
          <w:b/>
          <w:bCs/>
          <w:i/>
          <w:iCs/>
          <w:color w:val="1A1730"/>
          <w:sz w:val="28"/>
          <w:szCs w:val="28"/>
        </w:rPr>
        <w:softHyphen/>
      </w:r>
      <w:r w:rsidRPr="00DE4AE9">
        <w:rPr>
          <w:rFonts w:ascii="Newzald Book" w:hAnsi="Newzald Book"/>
          <w:b/>
          <w:bCs/>
          <w:i/>
          <w:iCs/>
          <w:color w:val="1A1730"/>
          <w:sz w:val="28"/>
          <w:szCs w:val="28"/>
        </w:rPr>
        <w:softHyphen/>
      </w:r>
    </w:p>
    <w:p w14:paraId="23ED5A70" w14:textId="39F60315" w:rsidR="002E5059" w:rsidRPr="00DE4AE9" w:rsidRDefault="002E5059" w:rsidP="002E5059">
      <w:pPr>
        <w:jc w:val="center"/>
        <w:rPr>
          <w:rFonts w:ascii="Newzald Book" w:hAnsi="Newzald Book"/>
          <w:b/>
          <w:bCs/>
          <w:color w:val="1A1730"/>
          <w:sz w:val="28"/>
          <w:szCs w:val="28"/>
        </w:rPr>
      </w:pPr>
      <w:r w:rsidRPr="00DE4AE9">
        <w:rPr>
          <w:rFonts w:ascii="Newzald Book" w:hAnsi="Newzald Book"/>
          <w:b/>
          <w:bCs/>
          <w:i/>
          <w:iCs/>
          <w:color w:val="1A1730"/>
          <w:sz w:val="28"/>
          <w:szCs w:val="28"/>
        </w:rPr>
        <w:t>environmental SCIENTIST</w:t>
      </w:r>
      <w:r w:rsidR="00167CF9">
        <w:rPr>
          <w:rFonts w:ascii="Newzald Book" w:hAnsi="Newzald Book"/>
          <w:b/>
          <w:bCs/>
          <w:i/>
          <w:iCs/>
          <w:color w:val="1A1730"/>
          <w:sz w:val="28"/>
          <w:szCs w:val="28"/>
        </w:rPr>
        <w:t xml:space="preserve"> </w:t>
      </w:r>
      <w:r w:rsidRPr="00DE4AE9">
        <w:rPr>
          <w:rFonts w:ascii="Newzald Book" w:hAnsi="Newzald Book"/>
          <w:b/>
          <w:bCs/>
          <w:color w:val="1A1730"/>
          <w:sz w:val="28"/>
          <w:szCs w:val="28"/>
        </w:rPr>
        <w:t xml:space="preserve"> journal: Learning Resource Notes</w:t>
      </w:r>
    </w:p>
    <w:p w14:paraId="63B3538D" w14:textId="77777777" w:rsidR="002E5059" w:rsidRPr="00630BDF" w:rsidRDefault="002E5059" w:rsidP="002E5059">
      <w:pPr>
        <w:pStyle w:val="NoSpacing"/>
        <w:jc w:val="both"/>
        <w:rPr>
          <w:rFonts w:ascii="Work Sans" w:hAnsi="Work Sans"/>
        </w:rPr>
      </w:pPr>
      <w:r w:rsidRPr="00630BDF">
        <w:rPr>
          <w:rFonts w:ascii="Work Sans" w:hAnsi="Work Sans"/>
        </w:rPr>
        <w:t xml:space="preserve">The purpose of these educational resource notes is to provide a format for informal, seminar-style discussions of the topics explored in the latest edition of the journal of the Institution of Environmental Sciences. </w:t>
      </w:r>
    </w:p>
    <w:p w14:paraId="71993265" w14:textId="77777777" w:rsidR="002E5059" w:rsidRPr="00630BDF" w:rsidRDefault="002E5059" w:rsidP="002E5059">
      <w:pPr>
        <w:pStyle w:val="NoSpacing"/>
        <w:jc w:val="both"/>
        <w:rPr>
          <w:rFonts w:ascii="Work Sans" w:hAnsi="Work Sans"/>
        </w:rPr>
      </w:pPr>
      <w:r w:rsidRPr="00630BDF">
        <w:rPr>
          <w:rFonts w:ascii="Work Sans" w:hAnsi="Work Sans"/>
        </w:rPr>
        <w:t xml:space="preserve"> </w:t>
      </w:r>
    </w:p>
    <w:p w14:paraId="1D2F354B" w14:textId="77777777" w:rsidR="002E5059" w:rsidRPr="00630BDF" w:rsidRDefault="002E5059" w:rsidP="002E5059">
      <w:pPr>
        <w:pStyle w:val="NoSpacing"/>
        <w:jc w:val="both"/>
        <w:rPr>
          <w:rFonts w:ascii="Work Sans" w:hAnsi="Work Sans"/>
        </w:rPr>
      </w:pPr>
      <w:r w:rsidRPr="00630BDF">
        <w:rPr>
          <w:rFonts w:ascii="Work Sans" w:hAnsi="Work Sans"/>
        </w:rPr>
        <w:t>Through discussion of the ideas and issues presented within the journal, they aim to supplement and enhance students’ knowledge and understanding of a broad range of environmental science issues and provide insights into the professional concerns of practising environmental scientists.</w:t>
      </w:r>
    </w:p>
    <w:p w14:paraId="371C479A" w14:textId="77777777" w:rsidR="002E5059" w:rsidRPr="00630BDF" w:rsidRDefault="002E5059" w:rsidP="002E5059">
      <w:pPr>
        <w:pStyle w:val="NoSpacing"/>
        <w:rPr>
          <w:rFonts w:ascii="Work Sans" w:hAnsi="Work Sans"/>
          <w:b/>
          <w:bCs/>
        </w:rPr>
      </w:pPr>
    </w:p>
    <w:p w14:paraId="52F3B21D" w14:textId="77777777" w:rsidR="002E5059" w:rsidRPr="00630BDF" w:rsidRDefault="002E5059" w:rsidP="002E5059">
      <w:pPr>
        <w:pStyle w:val="NoSpacing"/>
        <w:rPr>
          <w:rFonts w:ascii="Work Sans" w:hAnsi="Work Sans"/>
          <w:b/>
          <w:bCs/>
        </w:rPr>
      </w:pPr>
      <w:r w:rsidRPr="00630BDF">
        <w:rPr>
          <w:rFonts w:ascii="Work Sans" w:hAnsi="Work Sans"/>
          <w:b/>
          <w:bCs/>
        </w:rPr>
        <w:t xml:space="preserve">Articles in focus </w:t>
      </w:r>
    </w:p>
    <w:p w14:paraId="6A04F433" w14:textId="77777777" w:rsidR="002E5059" w:rsidRPr="00630BDF" w:rsidRDefault="002E5059" w:rsidP="002E5059">
      <w:pPr>
        <w:pStyle w:val="NoSpacing"/>
        <w:jc w:val="both"/>
        <w:rPr>
          <w:rFonts w:ascii="Work Sans" w:hAnsi="Work Sans"/>
          <w:color w:val="000000"/>
        </w:rPr>
      </w:pPr>
      <w:r w:rsidRPr="00630BDF">
        <w:rPr>
          <w:rFonts w:ascii="Work Sans" w:hAnsi="Work Sans"/>
        </w:rPr>
        <w:t>The below articles have been selected as particularly relevant for in-depth discussion, allowing for wider debate of the key elements of the article topic. S</w:t>
      </w:r>
      <w:r w:rsidRPr="00630BDF">
        <w:rPr>
          <w:rFonts w:ascii="Work Sans" w:hAnsi="Work Sans"/>
          <w:color w:val="000000"/>
        </w:rPr>
        <w:t xml:space="preserve">ome </w:t>
      </w:r>
      <w:r w:rsidRPr="00630BDF">
        <w:rPr>
          <w:rFonts w:ascii="Work Sans" w:hAnsi="Work Sans"/>
        </w:rPr>
        <w:t>specific</w:t>
      </w:r>
      <w:r w:rsidRPr="00630BDF">
        <w:rPr>
          <w:rFonts w:ascii="Work Sans" w:hAnsi="Work Sans"/>
          <w:color w:val="000000"/>
        </w:rPr>
        <w:t xml:space="preserve"> questions you may </w:t>
      </w:r>
      <w:r w:rsidRPr="00630BDF">
        <w:rPr>
          <w:rFonts w:ascii="Work Sans" w:hAnsi="Work Sans"/>
        </w:rPr>
        <w:t>wish</w:t>
      </w:r>
      <w:r w:rsidRPr="00630BDF">
        <w:rPr>
          <w:rFonts w:ascii="Work Sans" w:hAnsi="Work Sans"/>
          <w:color w:val="000000"/>
        </w:rPr>
        <w:t xml:space="preserve"> to consider when reading and discussing </w:t>
      </w:r>
      <w:r w:rsidRPr="00630BDF">
        <w:rPr>
          <w:rFonts w:ascii="Work Sans" w:hAnsi="Work Sans"/>
        </w:rPr>
        <w:t xml:space="preserve">these </w:t>
      </w:r>
      <w:r w:rsidRPr="00630BDF">
        <w:rPr>
          <w:rFonts w:ascii="Work Sans" w:hAnsi="Work Sans"/>
          <w:color w:val="000000"/>
        </w:rPr>
        <w:t>articles </w:t>
      </w:r>
      <w:r w:rsidRPr="00630BDF">
        <w:rPr>
          <w:rFonts w:ascii="Work Sans" w:hAnsi="Work Sans"/>
        </w:rPr>
        <w:t>are outlined.</w:t>
      </w:r>
      <w:r w:rsidRPr="00630BDF">
        <w:rPr>
          <w:rFonts w:ascii="Work Sans" w:hAnsi="Work Sans"/>
          <w:color w:val="000000"/>
        </w:rPr>
        <w:t xml:space="preserve"> </w:t>
      </w:r>
    </w:p>
    <w:p w14:paraId="716FFD7A" w14:textId="77777777" w:rsidR="002E5059" w:rsidRPr="00630BDF" w:rsidRDefault="002E5059" w:rsidP="002E5059">
      <w:pPr>
        <w:pStyle w:val="NoSpacing"/>
        <w:jc w:val="both"/>
        <w:rPr>
          <w:rFonts w:ascii="Work Sans" w:hAnsi="Work Sans"/>
          <w:color w:val="000000"/>
        </w:rPr>
      </w:pPr>
    </w:p>
    <w:p w14:paraId="705C29F4" w14:textId="77777777" w:rsidR="002E5059" w:rsidRPr="00630BDF" w:rsidRDefault="002E5059" w:rsidP="002E5059">
      <w:pPr>
        <w:pStyle w:val="NoSpacing"/>
        <w:rPr>
          <w:rFonts w:ascii="Work Sans" w:hAnsi="Work Sans"/>
        </w:rPr>
      </w:pPr>
    </w:p>
    <w:tbl>
      <w:tblPr>
        <w:tblStyle w:val="TableGrid"/>
        <w:tblW w:w="9498" w:type="dxa"/>
        <w:tblInd w:w="-5" w:type="dxa"/>
        <w:tblLook w:val="04A0" w:firstRow="1" w:lastRow="0" w:firstColumn="1" w:lastColumn="0" w:noHBand="0" w:noVBand="1"/>
      </w:tblPr>
      <w:tblGrid>
        <w:gridCol w:w="1696"/>
        <w:gridCol w:w="7802"/>
      </w:tblGrid>
      <w:tr w:rsidR="002E5059" w:rsidRPr="00630BDF" w14:paraId="465DCF73" w14:textId="77777777" w:rsidTr="00D96360">
        <w:trPr>
          <w:trHeight w:val="1375"/>
        </w:trPr>
        <w:tc>
          <w:tcPr>
            <w:tcW w:w="1696" w:type="dxa"/>
            <w:shd w:val="clear" w:color="auto" w:fill="D9D9D9" w:themeFill="background1" w:themeFillShade="D9"/>
            <w:vAlign w:val="center"/>
          </w:tcPr>
          <w:p w14:paraId="1AC26091" w14:textId="77777777" w:rsidR="002E5059" w:rsidRPr="00630BDF" w:rsidRDefault="002E5059" w:rsidP="00D96360">
            <w:pPr>
              <w:rPr>
                <w:rFonts w:ascii="Work Sans" w:hAnsi="Work Sans"/>
              </w:rPr>
            </w:pPr>
            <w:r w:rsidRPr="00630BDF">
              <w:rPr>
                <w:rFonts w:ascii="Work Sans" w:hAnsi="Work Sans"/>
              </w:rPr>
              <w:t>Learning outcomes</w:t>
            </w:r>
          </w:p>
        </w:tc>
        <w:tc>
          <w:tcPr>
            <w:tcW w:w="7802" w:type="dxa"/>
            <w:vAlign w:val="center"/>
          </w:tcPr>
          <w:p w14:paraId="2DFF55F2" w14:textId="1D5F11C1" w:rsidR="002E5059" w:rsidRPr="00630BDF" w:rsidRDefault="002E5059" w:rsidP="00D96360">
            <w:pPr>
              <w:pStyle w:val="ListParagraph"/>
              <w:numPr>
                <w:ilvl w:val="0"/>
                <w:numId w:val="1"/>
              </w:numPr>
              <w:rPr>
                <w:rFonts w:ascii="Work Sans" w:hAnsi="Work Sans"/>
              </w:rPr>
            </w:pPr>
            <w:r w:rsidRPr="00630BDF">
              <w:rPr>
                <w:rFonts w:ascii="Work Sans" w:hAnsi="Work Sans"/>
              </w:rPr>
              <w:t xml:space="preserve">Understand the main </w:t>
            </w:r>
            <w:r w:rsidR="00990E6B" w:rsidRPr="00630BDF">
              <w:rPr>
                <w:rFonts w:ascii="Work Sans" w:hAnsi="Work Sans"/>
              </w:rPr>
              <w:t>concepts and challenges</w:t>
            </w:r>
            <w:r w:rsidRPr="00630BDF">
              <w:rPr>
                <w:rFonts w:ascii="Work Sans" w:hAnsi="Work Sans"/>
              </w:rPr>
              <w:t xml:space="preserve"> discussed in the </w:t>
            </w:r>
            <w:r w:rsidR="005D0820" w:rsidRPr="00630BDF">
              <w:rPr>
                <w:rFonts w:ascii="Work Sans" w:hAnsi="Work Sans"/>
              </w:rPr>
              <w:t>edition</w:t>
            </w:r>
          </w:p>
          <w:p w14:paraId="3790F264" w14:textId="5EC8EBE4" w:rsidR="002E5059" w:rsidRPr="00630BDF" w:rsidRDefault="002E5059" w:rsidP="00D96360">
            <w:pPr>
              <w:pStyle w:val="ListParagraph"/>
              <w:numPr>
                <w:ilvl w:val="0"/>
                <w:numId w:val="1"/>
              </w:numPr>
              <w:rPr>
                <w:rFonts w:ascii="Work Sans" w:hAnsi="Work Sans"/>
              </w:rPr>
            </w:pPr>
            <w:r w:rsidRPr="00630BDF">
              <w:rPr>
                <w:rFonts w:ascii="Work Sans" w:hAnsi="Work Sans"/>
              </w:rPr>
              <w:t xml:space="preserve">Describe the </w:t>
            </w:r>
            <w:r w:rsidR="00990E6B" w:rsidRPr="00630BDF">
              <w:rPr>
                <w:rFonts w:ascii="Work Sans" w:hAnsi="Work Sans"/>
              </w:rPr>
              <w:t xml:space="preserve">conclusions reached by authors, </w:t>
            </w:r>
            <w:r w:rsidRPr="00630BDF">
              <w:rPr>
                <w:rFonts w:ascii="Work Sans" w:hAnsi="Work Sans"/>
              </w:rPr>
              <w:t xml:space="preserve">and </w:t>
            </w:r>
            <w:r w:rsidR="00990E6B" w:rsidRPr="00630BDF">
              <w:rPr>
                <w:rFonts w:ascii="Work Sans" w:hAnsi="Work Sans"/>
              </w:rPr>
              <w:t xml:space="preserve">identify </w:t>
            </w:r>
            <w:r w:rsidRPr="00630BDF">
              <w:rPr>
                <w:rFonts w:ascii="Work Sans" w:hAnsi="Work Sans"/>
              </w:rPr>
              <w:t>their relevance to the environmental science sector</w:t>
            </w:r>
          </w:p>
          <w:p w14:paraId="4EAFB920" w14:textId="534A537F" w:rsidR="002E5059" w:rsidRPr="00630BDF" w:rsidRDefault="002E5059" w:rsidP="00D96360">
            <w:pPr>
              <w:pStyle w:val="ListParagraph"/>
              <w:numPr>
                <w:ilvl w:val="0"/>
                <w:numId w:val="1"/>
              </w:numPr>
              <w:rPr>
                <w:rFonts w:ascii="Work Sans" w:hAnsi="Work Sans"/>
              </w:rPr>
            </w:pPr>
            <w:r w:rsidRPr="00630BDF">
              <w:rPr>
                <w:rFonts w:ascii="Work Sans" w:hAnsi="Work Sans"/>
              </w:rPr>
              <w:t xml:space="preserve">Critically reflect on the </w:t>
            </w:r>
            <w:r w:rsidR="00990E6B" w:rsidRPr="00630BDF">
              <w:rPr>
                <w:rFonts w:ascii="Work Sans" w:hAnsi="Work Sans"/>
              </w:rPr>
              <w:t xml:space="preserve">ideas presented </w:t>
            </w:r>
          </w:p>
        </w:tc>
      </w:tr>
      <w:tr w:rsidR="002E5059" w:rsidRPr="00630BDF" w14:paraId="468D8679" w14:textId="77777777" w:rsidTr="00D96360">
        <w:trPr>
          <w:trHeight w:val="3110"/>
        </w:trPr>
        <w:tc>
          <w:tcPr>
            <w:tcW w:w="1696" w:type="dxa"/>
            <w:shd w:val="clear" w:color="auto" w:fill="D9D9D9" w:themeFill="background1" w:themeFillShade="D9"/>
            <w:vAlign w:val="center"/>
          </w:tcPr>
          <w:p w14:paraId="17EC4BEA" w14:textId="77777777" w:rsidR="002E5059" w:rsidRPr="00630BDF" w:rsidRDefault="002E5059" w:rsidP="00D96360">
            <w:pPr>
              <w:rPr>
                <w:rFonts w:ascii="Work Sans" w:hAnsi="Work Sans"/>
              </w:rPr>
            </w:pPr>
            <w:r w:rsidRPr="00630BDF">
              <w:rPr>
                <w:rFonts w:ascii="Work Sans" w:hAnsi="Work Sans"/>
              </w:rPr>
              <w:t>Format</w:t>
            </w:r>
          </w:p>
        </w:tc>
        <w:tc>
          <w:tcPr>
            <w:tcW w:w="7802" w:type="dxa"/>
            <w:vAlign w:val="center"/>
          </w:tcPr>
          <w:p w14:paraId="5F292161" w14:textId="08E8E221" w:rsidR="002E5059" w:rsidRPr="00630BDF" w:rsidRDefault="002E5059" w:rsidP="00D96360">
            <w:pPr>
              <w:pStyle w:val="NoSpacing"/>
              <w:numPr>
                <w:ilvl w:val="0"/>
                <w:numId w:val="1"/>
              </w:numPr>
              <w:rPr>
                <w:rFonts w:ascii="Work Sans" w:hAnsi="Work Sans"/>
              </w:rPr>
            </w:pPr>
            <w:r w:rsidRPr="00630BDF">
              <w:rPr>
                <w:rFonts w:ascii="Work Sans" w:hAnsi="Work Sans"/>
              </w:rPr>
              <w:t xml:space="preserve">Articles of particular interest are to be selected and shared with the group to read ahead of the discussion. Suggestions of focus articles are </w:t>
            </w:r>
            <w:r w:rsidR="005D0820" w:rsidRPr="00630BDF">
              <w:rPr>
                <w:rFonts w:ascii="Work Sans" w:hAnsi="Work Sans"/>
              </w:rPr>
              <w:t>described below.</w:t>
            </w:r>
          </w:p>
          <w:p w14:paraId="47F26A1E" w14:textId="75555417" w:rsidR="002E5059" w:rsidRPr="00630BDF" w:rsidRDefault="002E5059" w:rsidP="00D96360">
            <w:pPr>
              <w:pStyle w:val="NoSpacing"/>
              <w:numPr>
                <w:ilvl w:val="0"/>
                <w:numId w:val="1"/>
              </w:numPr>
              <w:rPr>
                <w:rFonts w:ascii="Work Sans" w:hAnsi="Work Sans"/>
              </w:rPr>
            </w:pPr>
            <w:r w:rsidRPr="00630BDF">
              <w:rPr>
                <w:rFonts w:ascii="Work Sans" w:hAnsi="Work Sans"/>
              </w:rPr>
              <w:t>Small group discussions of articles that closely relate to programme content to supplement learning</w:t>
            </w:r>
            <w:r w:rsidR="000B57CC" w:rsidRPr="00630BDF">
              <w:rPr>
                <w:rFonts w:ascii="Work Sans" w:hAnsi="Work Sans"/>
              </w:rPr>
              <w:t>.</w:t>
            </w:r>
          </w:p>
          <w:p w14:paraId="39DDDF9C" w14:textId="6587E2DA" w:rsidR="002E5059" w:rsidRPr="00630BDF" w:rsidRDefault="002E5059" w:rsidP="00D96360">
            <w:pPr>
              <w:pStyle w:val="NoSpacing"/>
              <w:numPr>
                <w:ilvl w:val="0"/>
                <w:numId w:val="1"/>
              </w:numPr>
              <w:rPr>
                <w:rFonts w:ascii="Work Sans" w:hAnsi="Work Sans"/>
              </w:rPr>
            </w:pPr>
            <w:r w:rsidRPr="00630BDF">
              <w:rPr>
                <w:rFonts w:ascii="Work Sans" w:hAnsi="Work Sans"/>
              </w:rPr>
              <w:t>Discussions can be led by participants or the tutor, using the ‘articles in focus’ resource to prompt debate and aid the conversation</w:t>
            </w:r>
            <w:r w:rsidR="000B57CC" w:rsidRPr="00630BDF">
              <w:rPr>
                <w:rFonts w:ascii="Work Sans" w:hAnsi="Work Sans"/>
              </w:rPr>
              <w:t>.</w:t>
            </w:r>
          </w:p>
          <w:p w14:paraId="0FD82DEE" w14:textId="6AAAE065" w:rsidR="002E5059" w:rsidRPr="00630BDF" w:rsidRDefault="002E5059" w:rsidP="00D96360">
            <w:pPr>
              <w:pStyle w:val="NoSpacing"/>
              <w:numPr>
                <w:ilvl w:val="0"/>
                <w:numId w:val="1"/>
              </w:numPr>
              <w:rPr>
                <w:rFonts w:ascii="Work Sans" w:hAnsi="Work Sans"/>
              </w:rPr>
            </w:pPr>
            <w:r w:rsidRPr="00630BDF">
              <w:rPr>
                <w:rFonts w:ascii="Work Sans" w:hAnsi="Work Sans"/>
              </w:rPr>
              <w:t>The suggested discussion points and questions provided in this pack for selected articles can be used as a starting point to guide the discussion</w:t>
            </w:r>
            <w:r w:rsidR="000B57CC" w:rsidRPr="00630BDF">
              <w:rPr>
                <w:rFonts w:ascii="Work Sans" w:hAnsi="Work Sans"/>
              </w:rPr>
              <w:t>.</w:t>
            </w:r>
          </w:p>
          <w:p w14:paraId="7366B729" w14:textId="7F7C8F77" w:rsidR="002E5059" w:rsidRPr="00630BDF" w:rsidRDefault="002E5059" w:rsidP="00D96360">
            <w:pPr>
              <w:pStyle w:val="NoSpacing"/>
              <w:numPr>
                <w:ilvl w:val="0"/>
                <w:numId w:val="1"/>
              </w:numPr>
              <w:rPr>
                <w:rFonts w:ascii="Work Sans" w:hAnsi="Work Sans"/>
              </w:rPr>
            </w:pPr>
            <w:r w:rsidRPr="00630BDF">
              <w:rPr>
                <w:rFonts w:ascii="Work Sans" w:hAnsi="Work Sans"/>
              </w:rPr>
              <w:t>Students can be encouraged to choose to discuss any of the other articles within the issue</w:t>
            </w:r>
            <w:r w:rsidR="000B57CC" w:rsidRPr="00630BDF">
              <w:rPr>
                <w:rFonts w:ascii="Work Sans" w:hAnsi="Work Sans"/>
              </w:rPr>
              <w:t>.</w:t>
            </w:r>
          </w:p>
        </w:tc>
      </w:tr>
    </w:tbl>
    <w:p w14:paraId="3E6C9D0F" w14:textId="77777777" w:rsidR="002E5059" w:rsidRPr="00630BDF" w:rsidRDefault="002E5059" w:rsidP="002E5059">
      <w:pPr>
        <w:rPr>
          <w:rFonts w:ascii="Work Sans" w:hAnsi="Work Sans"/>
          <w:sz w:val="20"/>
          <w:szCs w:val="20"/>
        </w:rPr>
      </w:pPr>
    </w:p>
    <w:p w14:paraId="67D21EC4" w14:textId="5D4330C2" w:rsidR="002E5059" w:rsidRPr="00630BDF" w:rsidRDefault="002E5059" w:rsidP="002E5059">
      <w:pPr>
        <w:rPr>
          <w:rFonts w:ascii="Work Sans" w:hAnsi="Work Sans"/>
          <w:b/>
          <w:bCs/>
        </w:rPr>
      </w:pPr>
      <w:r w:rsidRPr="00630BDF">
        <w:rPr>
          <w:rFonts w:ascii="Work Sans" w:hAnsi="Work Sans"/>
          <w:noProof/>
          <w14:ligatures w14:val="standardContextual"/>
        </w:rPr>
        <w:drawing>
          <wp:anchor distT="0" distB="0" distL="114300" distR="114300" simplePos="0" relativeHeight="251658240" behindDoc="0" locked="0" layoutInCell="1" allowOverlap="1" wp14:anchorId="011B0FDA" wp14:editId="3CDC0991">
            <wp:simplePos x="0" y="0"/>
            <wp:positionH relativeFrom="column">
              <wp:posOffset>43180</wp:posOffset>
            </wp:positionH>
            <wp:positionV relativeFrom="paragraph">
              <wp:posOffset>74295</wp:posOffset>
            </wp:positionV>
            <wp:extent cx="1548765" cy="2190115"/>
            <wp:effectExtent l="0" t="0" r="0" b="635"/>
            <wp:wrapSquare wrapText="bothSides"/>
            <wp:docPr id="1600721181" name="Picture 160072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721181" name="Picture 16007211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48765" cy="2190115"/>
                    </a:xfrm>
                    <a:prstGeom prst="rect">
                      <a:avLst/>
                    </a:prstGeom>
                  </pic:spPr>
                </pic:pic>
              </a:graphicData>
            </a:graphic>
            <wp14:sizeRelH relativeFrom="margin">
              <wp14:pctWidth>0</wp14:pctWidth>
            </wp14:sizeRelH>
            <wp14:sizeRelV relativeFrom="margin">
              <wp14:pctHeight>0</wp14:pctHeight>
            </wp14:sizeRelV>
          </wp:anchor>
        </w:drawing>
      </w:r>
      <w:r w:rsidRPr="00630BDF">
        <w:rPr>
          <w:rFonts w:ascii="Work Sans" w:hAnsi="Work Sans"/>
        </w:rPr>
        <w:t>e</w:t>
      </w:r>
      <w:r w:rsidRPr="00630BDF">
        <w:rPr>
          <w:rFonts w:ascii="Work Sans" w:hAnsi="Work Sans"/>
          <w:i/>
          <w:iCs/>
        </w:rPr>
        <w:t>nvironmental SCIENTIST</w:t>
      </w:r>
      <w:r w:rsidRPr="00630BDF">
        <w:rPr>
          <w:rFonts w:ascii="Work Sans" w:hAnsi="Work Sans"/>
          <w:b/>
          <w:bCs/>
        </w:rPr>
        <w:br/>
      </w:r>
      <w:r w:rsidR="00A11989">
        <w:rPr>
          <w:rFonts w:ascii="Work Sans" w:hAnsi="Work Sans"/>
          <w:b/>
          <w:bCs/>
        </w:rPr>
        <w:t>Degrees of Disorder: Climate Tipping Points</w:t>
      </w:r>
      <w:r w:rsidRPr="00630BDF">
        <w:rPr>
          <w:rFonts w:ascii="Work Sans" w:hAnsi="Work Sans"/>
          <w:b/>
          <w:bCs/>
        </w:rPr>
        <w:br/>
      </w:r>
      <w:r w:rsidRPr="00630BDF">
        <w:rPr>
          <w:rFonts w:ascii="Work Sans" w:hAnsi="Work Sans"/>
        </w:rPr>
        <w:t>Vol 3</w:t>
      </w:r>
      <w:r w:rsidR="00D24332">
        <w:rPr>
          <w:rFonts w:ascii="Work Sans" w:hAnsi="Work Sans"/>
        </w:rPr>
        <w:t>6</w:t>
      </w:r>
      <w:r w:rsidRPr="00630BDF">
        <w:rPr>
          <w:rFonts w:ascii="Work Sans" w:hAnsi="Work Sans"/>
        </w:rPr>
        <w:t>, issue</w:t>
      </w:r>
      <w:r w:rsidR="007B79FC">
        <w:rPr>
          <w:rFonts w:ascii="Work Sans" w:hAnsi="Work Sans"/>
        </w:rPr>
        <w:t xml:space="preserve"> </w:t>
      </w:r>
      <w:r w:rsidR="00A11989">
        <w:rPr>
          <w:rFonts w:ascii="Work Sans" w:hAnsi="Work Sans"/>
        </w:rPr>
        <w:t>2</w:t>
      </w:r>
    </w:p>
    <w:p w14:paraId="62654256" w14:textId="023AB19F" w:rsidR="002E5059" w:rsidRPr="00630BDF" w:rsidRDefault="00345C44" w:rsidP="002E5059">
      <w:pPr>
        <w:pStyle w:val="NoSpacing"/>
        <w:rPr>
          <w:rFonts w:ascii="Work Sans" w:hAnsi="Work Sans"/>
          <w:b/>
          <w:bCs/>
          <w:sz w:val="2"/>
          <w:szCs w:val="2"/>
        </w:rPr>
      </w:pPr>
      <w:hyperlink r:id="rId11" w:history="1">
        <w:r w:rsidRPr="00B52712">
          <w:rPr>
            <w:rStyle w:val="Hyperlink"/>
          </w:rPr>
          <w:t>https://www.the-ies.org/resources/environmental-scientist-climate-tipping-points</w:t>
        </w:r>
      </w:hyperlink>
      <w:r>
        <w:t xml:space="preserve"> </w:t>
      </w:r>
      <w:r w:rsidR="004D1D8D">
        <w:t xml:space="preserve"> </w:t>
      </w:r>
    </w:p>
    <w:tbl>
      <w:tblPr>
        <w:tblStyle w:val="TableGrid"/>
        <w:tblW w:w="9498" w:type="dxa"/>
        <w:tblInd w:w="-5" w:type="dxa"/>
        <w:tblLook w:val="04A0" w:firstRow="1" w:lastRow="0" w:firstColumn="1" w:lastColumn="0" w:noHBand="0" w:noVBand="1"/>
      </w:tblPr>
      <w:tblGrid>
        <w:gridCol w:w="1985"/>
        <w:gridCol w:w="7513"/>
      </w:tblGrid>
      <w:tr w:rsidR="002E5059" w:rsidRPr="00630BDF" w14:paraId="41D35787" w14:textId="77777777" w:rsidTr="14182209">
        <w:trPr>
          <w:trHeight w:val="2162"/>
        </w:trPr>
        <w:tc>
          <w:tcPr>
            <w:tcW w:w="1985" w:type="dxa"/>
            <w:shd w:val="clear" w:color="auto" w:fill="D9D9D9" w:themeFill="background1" w:themeFillShade="D9"/>
            <w:vAlign w:val="center"/>
          </w:tcPr>
          <w:p w14:paraId="61AEDABF" w14:textId="77777777" w:rsidR="002E5059" w:rsidRPr="00630BDF" w:rsidRDefault="002E5059" w:rsidP="00D96360">
            <w:pPr>
              <w:rPr>
                <w:rFonts w:ascii="Work Sans" w:hAnsi="Work Sans"/>
                <w:b/>
                <w:bCs/>
              </w:rPr>
            </w:pPr>
            <w:r w:rsidRPr="00630BDF">
              <w:rPr>
                <w:rFonts w:ascii="Work Sans" w:hAnsi="Work Sans"/>
                <w:b/>
                <w:bCs/>
              </w:rPr>
              <w:lastRenderedPageBreak/>
              <w:t xml:space="preserve">Topic overview </w:t>
            </w:r>
          </w:p>
        </w:tc>
        <w:tc>
          <w:tcPr>
            <w:tcW w:w="7513" w:type="dxa"/>
            <w:vAlign w:val="center"/>
          </w:tcPr>
          <w:p w14:paraId="21DB6B61" w14:textId="44CDC8B3" w:rsidR="00545646" w:rsidRPr="00630BDF" w:rsidRDefault="502628F8" w:rsidP="14182209">
            <w:pPr>
              <w:pStyle w:val="NormalWeb"/>
              <w:shd w:val="clear" w:color="auto" w:fill="FFFFFF" w:themeFill="background1"/>
              <w:spacing w:before="120" w:beforeAutospacing="0" w:after="240" w:afterAutospacing="0"/>
            </w:pPr>
            <w:r w:rsidRPr="14182209">
              <w:rPr>
                <w:rFonts w:ascii="Work Sans" w:hAnsi="Work Sans"/>
                <w:color w:val="000000" w:themeColor="text1"/>
                <w:sz w:val="20"/>
                <w:szCs w:val="20"/>
              </w:rPr>
              <w:t>By now, most of us will recognise the concept of tipping points in the context of climate change: a term popularised by climate scientist Tim Lenton and others in 2008. Tipping points articulate how once predictable earth systems – climates, weather, currents, and patterns – can reach a threshold, then permanently topple into a state of disorder.</w:t>
            </w:r>
          </w:p>
          <w:p w14:paraId="4D732CD8" w14:textId="57CF8267" w:rsidR="00545646" w:rsidRPr="00630BDF" w:rsidRDefault="502628F8" w:rsidP="14182209">
            <w:pPr>
              <w:pStyle w:val="NormalWeb"/>
              <w:shd w:val="clear" w:color="auto" w:fill="FFFFFF" w:themeFill="background1"/>
              <w:spacing w:before="120" w:beforeAutospacing="0" w:after="240" w:afterAutospacing="0"/>
            </w:pPr>
            <w:r w:rsidRPr="14182209">
              <w:rPr>
                <w:rFonts w:ascii="Work Sans" w:hAnsi="Work Sans"/>
                <w:color w:val="000000" w:themeColor="text1"/>
                <w:sz w:val="20"/>
                <w:szCs w:val="20"/>
              </w:rPr>
              <w:t xml:space="preserve">Through the lens of tipping points, the future of our planet seems perilous: there may be massive upheavals in our boreal forests, sea ice, ocean currents, coral reefs and more, all of which threaten biodiversity, food security, and peace. However, as some of our authors in this issue explain, tipping points also offer the perfect framework for delivering positive changes: in renewable energy, social equity, and sustainable governance, for example. </w:t>
            </w:r>
          </w:p>
          <w:p w14:paraId="11C4B152" w14:textId="1B5E065A" w:rsidR="00545646" w:rsidRPr="00630BDF" w:rsidRDefault="502628F8" w:rsidP="14182209">
            <w:pPr>
              <w:pStyle w:val="NormalWeb"/>
              <w:shd w:val="clear" w:color="auto" w:fill="FFFFFF" w:themeFill="background1"/>
              <w:spacing w:before="120" w:beforeAutospacing="0" w:after="240" w:afterAutospacing="0"/>
            </w:pPr>
            <w:r w:rsidRPr="14182209">
              <w:rPr>
                <w:rFonts w:ascii="Work Sans" w:hAnsi="Work Sans"/>
                <w:color w:val="000000" w:themeColor="text1"/>
                <w:sz w:val="20"/>
                <w:szCs w:val="20"/>
              </w:rPr>
              <w:t>With a wealth of world-leading scientists contributing to this edition, the June 2026 issue of environmental SCIENTIST, ‘Degrees of Disorder: Climate Tipping Points’, unpacks the status of key earth systems tipping points and how they are interconnected. The articles also consider the human dimension of tipping points: who is already affected, how positive tipping points can deliver change for communities, and how policy can shape adaptation and national security risk management. As Tim Lenton writes in his foreword to this edition, by focusing on the positive changes we can make and influencing others, we may be able to persuade those in charge to “change course”.</w:t>
            </w:r>
          </w:p>
        </w:tc>
      </w:tr>
      <w:tr w:rsidR="002E5059" w:rsidRPr="00630BDF" w14:paraId="7DF946E9" w14:textId="77777777" w:rsidTr="14182209">
        <w:trPr>
          <w:trHeight w:val="289"/>
        </w:trPr>
        <w:tc>
          <w:tcPr>
            <w:tcW w:w="9498" w:type="dxa"/>
            <w:gridSpan w:val="2"/>
            <w:shd w:val="clear" w:color="auto" w:fill="D9D9D9" w:themeFill="background1" w:themeFillShade="D9"/>
          </w:tcPr>
          <w:p w14:paraId="63D1AD7C" w14:textId="77777777" w:rsidR="002E5059" w:rsidRPr="00630BDF" w:rsidRDefault="002E5059" w:rsidP="00D96360">
            <w:pPr>
              <w:pStyle w:val="NoSpacing"/>
              <w:jc w:val="center"/>
              <w:rPr>
                <w:rFonts w:ascii="Work Sans" w:hAnsi="Work Sans"/>
                <w:b/>
                <w:bCs/>
              </w:rPr>
            </w:pPr>
            <w:r w:rsidRPr="00630BDF">
              <w:rPr>
                <w:rFonts w:ascii="Work Sans" w:hAnsi="Work Sans"/>
                <w:b/>
                <w:bCs/>
              </w:rPr>
              <w:t>Articles in focus</w:t>
            </w:r>
          </w:p>
        </w:tc>
      </w:tr>
      <w:tr w:rsidR="002E5059" w:rsidRPr="00630BDF" w14:paraId="63532093" w14:textId="77777777" w:rsidTr="14182209">
        <w:trPr>
          <w:trHeight w:val="965"/>
        </w:trPr>
        <w:tc>
          <w:tcPr>
            <w:tcW w:w="1985" w:type="dxa"/>
            <w:vMerge w:val="restart"/>
            <w:shd w:val="clear" w:color="auto" w:fill="D9D9D9" w:themeFill="background1" w:themeFillShade="D9"/>
            <w:vAlign w:val="center"/>
          </w:tcPr>
          <w:p w14:paraId="5F2242D1" w14:textId="36DE6A24" w:rsidR="002E5059" w:rsidRPr="00630BDF" w:rsidRDefault="008107A6" w:rsidP="0080378C">
            <w:pPr>
              <w:rPr>
                <w:rFonts w:ascii="Work Sans" w:hAnsi="Work Sans"/>
                <w:b/>
                <w:bCs/>
              </w:rPr>
            </w:pPr>
            <w:r w:rsidRPr="00630BDF">
              <w:rPr>
                <w:rFonts w:ascii="Work Sans" w:hAnsi="Work Sans"/>
                <w:b/>
                <w:bCs/>
              </w:rPr>
              <w:t>‘</w:t>
            </w:r>
            <w:r w:rsidR="00A500BF">
              <w:rPr>
                <w:rFonts w:ascii="Work Sans" w:hAnsi="Work Sans"/>
                <w:b/>
                <w:bCs/>
              </w:rPr>
              <w:t>Over the edge: a climate tipping points primer</w:t>
            </w:r>
            <w:r w:rsidR="00A2629E">
              <w:rPr>
                <w:rFonts w:ascii="Work Sans" w:hAnsi="Work Sans"/>
                <w:b/>
                <w:bCs/>
              </w:rPr>
              <w:t>’</w:t>
            </w:r>
          </w:p>
          <w:p w14:paraId="406A349A" w14:textId="77777777" w:rsidR="002E5059" w:rsidRPr="00630BDF" w:rsidRDefault="002E5059" w:rsidP="00D96360">
            <w:pPr>
              <w:rPr>
                <w:rFonts w:ascii="Work Sans" w:hAnsi="Work Sans"/>
                <w:b/>
                <w:bCs/>
              </w:rPr>
            </w:pPr>
          </w:p>
          <w:p w14:paraId="4570C845" w14:textId="7B264903" w:rsidR="002E5059" w:rsidRPr="00630BDF" w:rsidRDefault="008107A6" w:rsidP="00D96360">
            <w:pPr>
              <w:rPr>
                <w:rFonts w:ascii="Work Sans" w:hAnsi="Work Sans"/>
                <w:b/>
                <w:bCs/>
              </w:rPr>
            </w:pPr>
            <w:r w:rsidRPr="00630BDF">
              <w:rPr>
                <w:rFonts w:ascii="Work Sans" w:hAnsi="Work Sans"/>
                <w:b/>
                <w:bCs/>
              </w:rPr>
              <w:t>(</w:t>
            </w:r>
            <w:r w:rsidR="00A500BF">
              <w:rPr>
                <w:rFonts w:ascii="Work Sans" w:hAnsi="Work Sans"/>
                <w:b/>
                <w:bCs/>
              </w:rPr>
              <w:t>David Armstrong McKay, p. 12</w:t>
            </w:r>
            <w:r w:rsidR="002E5059" w:rsidRPr="00630BDF">
              <w:rPr>
                <w:rFonts w:ascii="Work Sans" w:hAnsi="Work Sans"/>
                <w:b/>
                <w:bCs/>
              </w:rPr>
              <w:t>)</w:t>
            </w:r>
          </w:p>
        </w:tc>
        <w:tc>
          <w:tcPr>
            <w:tcW w:w="7513" w:type="dxa"/>
            <w:shd w:val="clear" w:color="auto" w:fill="E7E6E6" w:themeFill="background2"/>
            <w:vAlign w:val="center"/>
          </w:tcPr>
          <w:p w14:paraId="12BFCE1E" w14:textId="28C4A619" w:rsidR="002E5059" w:rsidRPr="00630BDF" w:rsidRDefault="002E5059" w:rsidP="00A75196">
            <w:pPr>
              <w:pStyle w:val="NoSpacing"/>
              <w:rPr>
                <w:rFonts w:ascii="Work Sans" w:hAnsi="Work Sans"/>
              </w:rPr>
            </w:pPr>
            <w:r w:rsidRPr="00630BDF">
              <w:rPr>
                <w:rFonts w:ascii="Work Sans" w:hAnsi="Work Sans"/>
                <w:b/>
                <w:bCs/>
              </w:rPr>
              <w:t>Article overview:</w:t>
            </w:r>
            <w:r w:rsidRPr="00630BDF">
              <w:rPr>
                <w:rFonts w:ascii="Work Sans" w:hAnsi="Work Sans"/>
              </w:rPr>
              <w:t xml:space="preserve"> </w:t>
            </w:r>
            <w:r w:rsidR="00063012">
              <w:rPr>
                <w:rFonts w:ascii="Work Sans" w:hAnsi="Work Sans"/>
              </w:rPr>
              <w:t xml:space="preserve">This author considers the scope and scale of earth systems climate tipping points, </w:t>
            </w:r>
            <w:r w:rsidR="00EE1BDB">
              <w:rPr>
                <w:rFonts w:ascii="Work Sans" w:hAnsi="Work Sans"/>
              </w:rPr>
              <w:t xml:space="preserve">outlining how they intersect and interact with each other. </w:t>
            </w:r>
          </w:p>
        </w:tc>
      </w:tr>
      <w:tr w:rsidR="002E5059" w:rsidRPr="00630BDF" w14:paraId="35A7A0A9" w14:textId="77777777" w:rsidTr="14182209">
        <w:trPr>
          <w:trHeight w:val="2539"/>
        </w:trPr>
        <w:tc>
          <w:tcPr>
            <w:tcW w:w="1985" w:type="dxa"/>
            <w:vMerge/>
          </w:tcPr>
          <w:p w14:paraId="071592C7" w14:textId="77777777" w:rsidR="002E5059" w:rsidRPr="00630BDF" w:rsidRDefault="002E5059" w:rsidP="00D96360">
            <w:pPr>
              <w:rPr>
                <w:rFonts w:ascii="Work Sans" w:hAnsi="Work Sans"/>
                <w:b/>
                <w:bCs/>
              </w:rPr>
            </w:pPr>
          </w:p>
        </w:tc>
        <w:tc>
          <w:tcPr>
            <w:tcW w:w="7513" w:type="dxa"/>
            <w:vAlign w:val="center"/>
          </w:tcPr>
          <w:p w14:paraId="7F895373" w14:textId="6591384B" w:rsidR="00651007" w:rsidRDefault="000308A3" w:rsidP="00D96360">
            <w:pPr>
              <w:pStyle w:val="ListParagraph"/>
              <w:numPr>
                <w:ilvl w:val="0"/>
                <w:numId w:val="2"/>
              </w:numPr>
              <w:spacing w:after="160"/>
              <w:rPr>
                <w:rFonts w:ascii="Work Sans" w:hAnsi="Work Sans"/>
              </w:rPr>
            </w:pPr>
            <w:r>
              <w:rPr>
                <w:rFonts w:ascii="Work Sans" w:hAnsi="Work Sans"/>
              </w:rPr>
              <w:t xml:space="preserve">Looking at </w:t>
            </w:r>
            <w:r w:rsidRPr="00971F70">
              <w:rPr>
                <w:rFonts w:ascii="Work Sans" w:hAnsi="Work Sans"/>
                <w:b/>
                <w:bCs/>
              </w:rPr>
              <w:t>Figure 1</w:t>
            </w:r>
            <w:r>
              <w:rPr>
                <w:rFonts w:ascii="Work Sans" w:hAnsi="Work Sans"/>
              </w:rPr>
              <w:t xml:space="preserve">, describe how this visual aid shows </w:t>
            </w:r>
            <w:r w:rsidR="00311988">
              <w:rPr>
                <w:rFonts w:ascii="Work Sans" w:hAnsi="Work Sans"/>
              </w:rPr>
              <w:t>how a climate tipping point can be reached.</w:t>
            </w:r>
          </w:p>
          <w:p w14:paraId="6BEAEB73" w14:textId="1DBC2811" w:rsidR="000308A3" w:rsidRDefault="00031B62" w:rsidP="00D96360">
            <w:pPr>
              <w:pStyle w:val="ListParagraph"/>
              <w:numPr>
                <w:ilvl w:val="0"/>
                <w:numId w:val="2"/>
              </w:numPr>
              <w:spacing w:after="160"/>
              <w:rPr>
                <w:rFonts w:ascii="Work Sans" w:hAnsi="Work Sans"/>
              </w:rPr>
            </w:pPr>
            <w:r>
              <w:rPr>
                <w:rFonts w:ascii="Work Sans" w:hAnsi="Work Sans"/>
              </w:rPr>
              <w:t xml:space="preserve">Explain </w:t>
            </w:r>
            <w:r w:rsidR="00E97A3C">
              <w:rPr>
                <w:rFonts w:ascii="Work Sans" w:hAnsi="Work Sans"/>
              </w:rPr>
              <w:t>the current status of the melting of the Greenland ice sheet</w:t>
            </w:r>
            <w:r w:rsidR="006E36F4">
              <w:rPr>
                <w:rFonts w:ascii="Work Sans" w:hAnsi="Work Sans"/>
              </w:rPr>
              <w:t>, and how this could change in the future.</w:t>
            </w:r>
          </w:p>
          <w:p w14:paraId="386C8142" w14:textId="5030814D" w:rsidR="000308A3" w:rsidRPr="00630BDF" w:rsidRDefault="00220754" w:rsidP="00D96360">
            <w:pPr>
              <w:pStyle w:val="ListParagraph"/>
              <w:numPr>
                <w:ilvl w:val="0"/>
                <w:numId w:val="2"/>
              </w:numPr>
              <w:spacing w:after="160"/>
              <w:rPr>
                <w:rFonts w:ascii="Work Sans" w:hAnsi="Work Sans"/>
              </w:rPr>
            </w:pPr>
            <w:r>
              <w:rPr>
                <w:rFonts w:ascii="Work Sans" w:hAnsi="Work Sans"/>
              </w:rPr>
              <w:t xml:space="preserve">Looking at </w:t>
            </w:r>
            <w:r w:rsidRPr="00971F70">
              <w:rPr>
                <w:rFonts w:ascii="Work Sans" w:hAnsi="Work Sans"/>
                <w:b/>
                <w:bCs/>
              </w:rPr>
              <w:t>Figures 4</w:t>
            </w:r>
            <w:r>
              <w:rPr>
                <w:rFonts w:ascii="Work Sans" w:hAnsi="Work Sans"/>
              </w:rPr>
              <w:t xml:space="preserve"> and </w:t>
            </w:r>
            <w:r w:rsidRPr="00971F70">
              <w:rPr>
                <w:rFonts w:ascii="Work Sans" w:hAnsi="Work Sans"/>
                <w:b/>
                <w:bCs/>
              </w:rPr>
              <w:t>5</w:t>
            </w:r>
            <w:r>
              <w:rPr>
                <w:rFonts w:ascii="Work Sans" w:hAnsi="Work Sans"/>
              </w:rPr>
              <w:t xml:space="preserve">, </w:t>
            </w:r>
            <w:r w:rsidR="009E3785">
              <w:rPr>
                <w:rFonts w:ascii="Work Sans" w:hAnsi="Work Sans"/>
              </w:rPr>
              <w:t>choose one tipping point, and highlight the effects it may have (e.g. stabili</w:t>
            </w:r>
            <w:r w:rsidR="00971F70">
              <w:rPr>
                <w:rFonts w:ascii="Work Sans" w:hAnsi="Work Sans"/>
              </w:rPr>
              <w:t>s</w:t>
            </w:r>
            <w:r w:rsidR="009E3785">
              <w:rPr>
                <w:rFonts w:ascii="Work Sans" w:hAnsi="Work Sans"/>
              </w:rPr>
              <w:t>ing, destabili</w:t>
            </w:r>
            <w:r w:rsidR="00971F70">
              <w:rPr>
                <w:rFonts w:ascii="Work Sans" w:hAnsi="Work Sans"/>
              </w:rPr>
              <w:t>s</w:t>
            </w:r>
            <w:r w:rsidR="009E3785">
              <w:rPr>
                <w:rFonts w:ascii="Work Sans" w:hAnsi="Work Sans"/>
              </w:rPr>
              <w:t xml:space="preserve">ing) on other tipping points. </w:t>
            </w:r>
          </w:p>
        </w:tc>
      </w:tr>
      <w:tr w:rsidR="002E5059" w:rsidRPr="00630BDF" w14:paraId="67B49115" w14:textId="77777777" w:rsidTr="14182209">
        <w:trPr>
          <w:trHeight w:val="987"/>
        </w:trPr>
        <w:tc>
          <w:tcPr>
            <w:tcW w:w="1985" w:type="dxa"/>
            <w:vMerge w:val="restart"/>
            <w:shd w:val="clear" w:color="auto" w:fill="D9D9D9" w:themeFill="background1" w:themeFillShade="D9"/>
            <w:vAlign w:val="center"/>
          </w:tcPr>
          <w:p w14:paraId="641CAB71" w14:textId="5B7F816D" w:rsidR="002E5059" w:rsidRDefault="0011715C" w:rsidP="00795675">
            <w:pPr>
              <w:rPr>
                <w:rFonts w:ascii="Work Sans" w:hAnsi="Work Sans"/>
                <w:b/>
                <w:bCs/>
              </w:rPr>
            </w:pPr>
            <w:r w:rsidRPr="00630BDF">
              <w:rPr>
                <w:rFonts w:ascii="Work Sans" w:hAnsi="Work Sans"/>
                <w:b/>
                <w:bCs/>
              </w:rPr>
              <w:t>‘</w:t>
            </w:r>
            <w:r w:rsidR="008F6DF6">
              <w:rPr>
                <w:rFonts w:ascii="Work Sans" w:hAnsi="Work Sans"/>
                <w:b/>
                <w:bCs/>
              </w:rPr>
              <w:t>Adapting to the inevitable: who bears the burden when tipping points are crossed?</w:t>
            </w:r>
            <w:r w:rsidR="003D6112">
              <w:rPr>
                <w:rFonts w:ascii="Work Sans" w:hAnsi="Work Sans"/>
                <w:b/>
                <w:bCs/>
              </w:rPr>
              <w:t>’</w:t>
            </w:r>
          </w:p>
          <w:p w14:paraId="60C01204" w14:textId="77777777" w:rsidR="009427B7" w:rsidRPr="00630BDF" w:rsidRDefault="009427B7" w:rsidP="00795675">
            <w:pPr>
              <w:rPr>
                <w:rFonts w:ascii="Work Sans" w:hAnsi="Work Sans"/>
                <w:b/>
                <w:bCs/>
              </w:rPr>
            </w:pPr>
          </w:p>
          <w:p w14:paraId="3AE9F993" w14:textId="072B9E17" w:rsidR="002E5059" w:rsidRPr="00630BDF" w:rsidRDefault="005A560B" w:rsidP="009427B7">
            <w:pPr>
              <w:rPr>
                <w:rFonts w:ascii="Work Sans" w:hAnsi="Work Sans"/>
                <w:b/>
                <w:bCs/>
              </w:rPr>
            </w:pPr>
            <w:r w:rsidRPr="00630BDF">
              <w:rPr>
                <w:rFonts w:ascii="Work Sans" w:hAnsi="Work Sans"/>
                <w:b/>
                <w:bCs/>
              </w:rPr>
              <w:t>(</w:t>
            </w:r>
            <w:r w:rsidR="008F6DF6">
              <w:rPr>
                <w:rFonts w:ascii="Work Sans" w:hAnsi="Work Sans"/>
                <w:b/>
                <w:bCs/>
              </w:rPr>
              <w:t>Sarah Redicker, p. 46</w:t>
            </w:r>
            <w:r w:rsidRPr="00630BDF">
              <w:rPr>
                <w:rFonts w:ascii="Work Sans" w:hAnsi="Work Sans"/>
                <w:b/>
                <w:bCs/>
              </w:rPr>
              <w:t>)</w:t>
            </w:r>
          </w:p>
        </w:tc>
        <w:tc>
          <w:tcPr>
            <w:tcW w:w="7513" w:type="dxa"/>
            <w:shd w:val="clear" w:color="auto" w:fill="E7E6E6" w:themeFill="background2"/>
            <w:vAlign w:val="center"/>
          </w:tcPr>
          <w:p w14:paraId="3D1848FB" w14:textId="2BAA993B" w:rsidR="002E5059" w:rsidRPr="00630BDF" w:rsidRDefault="002E5059" w:rsidP="00D96360">
            <w:pPr>
              <w:pStyle w:val="NoSpacing"/>
              <w:rPr>
                <w:rFonts w:ascii="Work Sans" w:hAnsi="Work Sans"/>
              </w:rPr>
            </w:pPr>
            <w:r w:rsidRPr="00630BDF">
              <w:rPr>
                <w:rFonts w:ascii="Work Sans" w:hAnsi="Work Sans"/>
                <w:b/>
                <w:bCs/>
              </w:rPr>
              <w:t>Article overview:</w:t>
            </w:r>
            <w:r w:rsidRPr="00630BDF">
              <w:rPr>
                <w:rFonts w:ascii="Work Sans" w:hAnsi="Work Sans"/>
              </w:rPr>
              <w:t xml:space="preserve"> </w:t>
            </w:r>
            <w:r w:rsidR="009C3065">
              <w:rPr>
                <w:rFonts w:ascii="Work Sans" w:hAnsi="Work Sans"/>
              </w:rPr>
              <w:t>In this article, the author focuses on the uneven distribution of the consequences of breached tipping points, advocating for better governance and adaptation to climate impacts.</w:t>
            </w:r>
          </w:p>
        </w:tc>
      </w:tr>
      <w:tr w:rsidR="002E5059" w:rsidRPr="00630BDF" w14:paraId="76B6D917" w14:textId="77777777" w:rsidTr="14182209">
        <w:trPr>
          <w:trHeight w:val="2542"/>
        </w:trPr>
        <w:tc>
          <w:tcPr>
            <w:tcW w:w="1985" w:type="dxa"/>
            <w:vMerge/>
          </w:tcPr>
          <w:p w14:paraId="152ED2E9" w14:textId="77777777" w:rsidR="002E5059" w:rsidRPr="00630BDF" w:rsidRDefault="002E5059" w:rsidP="00D96360">
            <w:pPr>
              <w:rPr>
                <w:rFonts w:ascii="Work Sans" w:hAnsi="Work Sans"/>
                <w:b/>
                <w:bCs/>
              </w:rPr>
            </w:pPr>
          </w:p>
        </w:tc>
        <w:tc>
          <w:tcPr>
            <w:tcW w:w="7513" w:type="dxa"/>
            <w:vAlign w:val="center"/>
          </w:tcPr>
          <w:p w14:paraId="4071EA6D" w14:textId="012EE74D" w:rsidR="003444B1" w:rsidRDefault="000B14BF" w:rsidP="00585947">
            <w:pPr>
              <w:pStyle w:val="ListParagraph"/>
              <w:numPr>
                <w:ilvl w:val="0"/>
                <w:numId w:val="4"/>
              </w:numPr>
              <w:rPr>
                <w:rFonts w:ascii="Work Sans" w:hAnsi="Work Sans"/>
              </w:rPr>
            </w:pPr>
            <w:r>
              <w:rPr>
                <w:rFonts w:ascii="Work Sans" w:hAnsi="Work Sans"/>
              </w:rPr>
              <w:t xml:space="preserve">Describe the groups of people </w:t>
            </w:r>
            <w:r w:rsidR="0079767E">
              <w:rPr>
                <w:rFonts w:ascii="Work Sans" w:hAnsi="Work Sans"/>
              </w:rPr>
              <w:t xml:space="preserve">or communities </w:t>
            </w:r>
            <w:r>
              <w:rPr>
                <w:rFonts w:ascii="Work Sans" w:hAnsi="Work Sans"/>
              </w:rPr>
              <w:t xml:space="preserve">most at risk from extreme </w:t>
            </w:r>
            <w:r w:rsidR="00522E59">
              <w:rPr>
                <w:rFonts w:ascii="Work Sans" w:hAnsi="Work Sans"/>
              </w:rPr>
              <w:t>heat, and explain why this is the case.</w:t>
            </w:r>
          </w:p>
          <w:p w14:paraId="39E22701" w14:textId="77777777" w:rsidR="00522E59" w:rsidRDefault="001707AE" w:rsidP="00585947">
            <w:pPr>
              <w:pStyle w:val="ListParagraph"/>
              <w:numPr>
                <w:ilvl w:val="0"/>
                <w:numId w:val="4"/>
              </w:numPr>
              <w:rPr>
                <w:rFonts w:ascii="Work Sans" w:hAnsi="Work Sans"/>
              </w:rPr>
            </w:pPr>
            <w:r>
              <w:rPr>
                <w:rFonts w:ascii="Work Sans" w:hAnsi="Work Sans"/>
              </w:rPr>
              <w:t xml:space="preserve">Discuss the barriers that have led to the “governance gap” in funding </w:t>
            </w:r>
            <w:r w:rsidR="0079767E">
              <w:rPr>
                <w:rFonts w:ascii="Work Sans" w:hAnsi="Work Sans"/>
              </w:rPr>
              <w:t>for climate adaptation in developing countries.</w:t>
            </w:r>
          </w:p>
          <w:p w14:paraId="06B8B2FA" w14:textId="1FB69E44" w:rsidR="0079767E" w:rsidRPr="00630BDF" w:rsidRDefault="00715677" w:rsidP="00585947">
            <w:pPr>
              <w:pStyle w:val="ListParagraph"/>
              <w:numPr>
                <w:ilvl w:val="0"/>
                <w:numId w:val="4"/>
              </w:numPr>
              <w:rPr>
                <w:rFonts w:ascii="Work Sans" w:hAnsi="Work Sans"/>
              </w:rPr>
            </w:pPr>
            <w:r>
              <w:rPr>
                <w:rFonts w:ascii="Work Sans" w:hAnsi="Work Sans"/>
              </w:rPr>
              <w:t>How has the USA’s withdrawal from the Paris Agreement impacted the funding for climate adaptation?</w:t>
            </w:r>
          </w:p>
        </w:tc>
      </w:tr>
      <w:tr w:rsidR="002E5059" w:rsidRPr="00630BDF" w14:paraId="405D6986" w14:textId="77777777" w:rsidTr="14182209">
        <w:trPr>
          <w:trHeight w:val="983"/>
        </w:trPr>
        <w:tc>
          <w:tcPr>
            <w:tcW w:w="1985" w:type="dxa"/>
            <w:vMerge w:val="restart"/>
            <w:shd w:val="clear" w:color="auto" w:fill="D9D9D9" w:themeFill="background1" w:themeFillShade="D9"/>
          </w:tcPr>
          <w:p w14:paraId="1A91A4F0" w14:textId="4836EF8E" w:rsidR="004724B3" w:rsidRDefault="0011715C" w:rsidP="00D96360">
            <w:pPr>
              <w:rPr>
                <w:rFonts w:ascii="Work Sans" w:hAnsi="Work Sans"/>
                <w:b/>
                <w:bCs/>
              </w:rPr>
            </w:pPr>
            <w:r w:rsidRPr="00630BDF">
              <w:rPr>
                <w:rFonts w:ascii="Work Sans" w:hAnsi="Work Sans"/>
                <w:b/>
                <w:bCs/>
              </w:rPr>
              <w:lastRenderedPageBreak/>
              <w:t>‘</w:t>
            </w:r>
            <w:r w:rsidR="00D81CF9">
              <w:rPr>
                <w:rFonts w:ascii="Work Sans" w:hAnsi="Work Sans"/>
                <w:b/>
                <w:bCs/>
              </w:rPr>
              <w:t xml:space="preserve">The Atlantic Meridional Overturning Circulation at a tipping point: </w:t>
            </w:r>
            <w:r w:rsidR="00063012">
              <w:rPr>
                <w:rFonts w:ascii="Work Sans" w:hAnsi="Work Sans"/>
                <w:b/>
                <w:bCs/>
              </w:rPr>
              <w:t>evidence and global consequences</w:t>
            </w:r>
            <w:r w:rsidR="004724B3">
              <w:rPr>
                <w:rFonts w:ascii="Work Sans" w:hAnsi="Work Sans"/>
                <w:b/>
                <w:bCs/>
              </w:rPr>
              <w:t>’</w:t>
            </w:r>
          </w:p>
          <w:p w14:paraId="72869C8D" w14:textId="77777777" w:rsidR="004724B3" w:rsidRDefault="004724B3" w:rsidP="00D96360">
            <w:pPr>
              <w:rPr>
                <w:rFonts w:ascii="Work Sans" w:hAnsi="Work Sans"/>
                <w:b/>
                <w:bCs/>
              </w:rPr>
            </w:pPr>
          </w:p>
          <w:p w14:paraId="5B588DCD" w14:textId="0E510746" w:rsidR="002E5059" w:rsidRPr="00630BDF" w:rsidRDefault="0011715C" w:rsidP="00D96360">
            <w:pPr>
              <w:rPr>
                <w:rFonts w:ascii="Work Sans" w:hAnsi="Work Sans"/>
                <w:b/>
                <w:bCs/>
              </w:rPr>
            </w:pPr>
            <w:r w:rsidRPr="00630BDF">
              <w:rPr>
                <w:rFonts w:ascii="Work Sans" w:hAnsi="Work Sans"/>
                <w:b/>
                <w:bCs/>
              </w:rPr>
              <w:t>(</w:t>
            </w:r>
            <w:r w:rsidR="00063012">
              <w:rPr>
                <w:rFonts w:ascii="Work Sans" w:hAnsi="Work Sans"/>
                <w:b/>
                <w:bCs/>
              </w:rPr>
              <w:t>Nicole Laureanti et al., p. 62</w:t>
            </w:r>
            <w:r w:rsidRPr="00630BDF">
              <w:rPr>
                <w:rFonts w:ascii="Work Sans" w:hAnsi="Work Sans"/>
                <w:b/>
                <w:bCs/>
              </w:rPr>
              <w:t>)</w:t>
            </w:r>
          </w:p>
        </w:tc>
        <w:tc>
          <w:tcPr>
            <w:tcW w:w="7513" w:type="dxa"/>
            <w:shd w:val="clear" w:color="auto" w:fill="E7E6E6" w:themeFill="background2"/>
            <w:vAlign w:val="center"/>
          </w:tcPr>
          <w:p w14:paraId="6F44E04A" w14:textId="095B711F" w:rsidR="002E5059" w:rsidRPr="000A6ABC" w:rsidRDefault="002E5059" w:rsidP="00D96360">
            <w:pPr>
              <w:pStyle w:val="NoSpacing"/>
              <w:rPr>
                <w:rFonts w:ascii="Work Sans" w:hAnsi="Work Sans"/>
                <w:highlight w:val="yellow"/>
              </w:rPr>
            </w:pPr>
            <w:r w:rsidRPr="00630BDF">
              <w:rPr>
                <w:rFonts w:ascii="Work Sans" w:hAnsi="Work Sans"/>
                <w:b/>
                <w:bCs/>
              </w:rPr>
              <w:t>Article overview</w:t>
            </w:r>
            <w:r w:rsidR="004B0761" w:rsidRPr="00630BDF">
              <w:rPr>
                <w:rFonts w:ascii="Work Sans" w:hAnsi="Work Sans"/>
                <w:b/>
                <w:bCs/>
              </w:rPr>
              <w:t xml:space="preserve">: </w:t>
            </w:r>
            <w:r w:rsidR="000A6ABC">
              <w:rPr>
                <w:rFonts w:ascii="Work Sans" w:hAnsi="Work Sans"/>
              </w:rPr>
              <w:t xml:space="preserve">This article considers changes in the Atlantic Meridional Overturning Circulation (AMOC), and what these might mean for </w:t>
            </w:r>
            <w:r w:rsidR="00FA0FCE">
              <w:rPr>
                <w:rFonts w:ascii="Work Sans" w:hAnsi="Work Sans"/>
              </w:rPr>
              <w:t>the future of Europe (and the rest of the world).</w:t>
            </w:r>
          </w:p>
        </w:tc>
      </w:tr>
      <w:tr w:rsidR="002E5059" w:rsidRPr="00630BDF" w14:paraId="7B3FBD0A" w14:textId="77777777" w:rsidTr="14182209">
        <w:trPr>
          <w:trHeight w:val="2560"/>
        </w:trPr>
        <w:tc>
          <w:tcPr>
            <w:tcW w:w="1985" w:type="dxa"/>
            <w:vMerge/>
          </w:tcPr>
          <w:p w14:paraId="5AA61038" w14:textId="77777777" w:rsidR="002E5059" w:rsidRPr="00630BDF" w:rsidRDefault="002E5059" w:rsidP="00D96360">
            <w:pPr>
              <w:rPr>
                <w:rFonts w:ascii="Work Sans" w:hAnsi="Work Sans"/>
                <w:b/>
                <w:bCs/>
              </w:rPr>
            </w:pPr>
          </w:p>
        </w:tc>
        <w:tc>
          <w:tcPr>
            <w:tcW w:w="7513" w:type="dxa"/>
            <w:vAlign w:val="center"/>
          </w:tcPr>
          <w:p w14:paraId="3FF7CCCE" w14:textId="6FDD43A8" w:rsidR="007348AB" w:rsidRDefault="64081772" w:rsidP="14182209">
            <w:pPr>
              <w:pStyle w:val="ListParagraph"/>
              <w:numPr>
                <w:ilvl w:val="0"/>
                <w:numId w:val="3"/>
              </w:numPr>
              <w:rPr>
                <w:rFonts w:ascii="Work Sans" w:hAnsi="Work Sans"/>
              </w:rPr>
            </w:pPr>
            <w:r w:rsidRPr="14182209">
              <w:rPr>
                <w:rFonts w:ascii="Work Sans" w:hAnsi="Work Sans"/>
              </w:rPr>
              <w:t>Describe how the AMOC works</w:t>
            </w:r>
            <w:r w:rsidR="000F63CC" w:rsidRPr="14182209">
              <w:rPr>
                <w:rFonts w:ascii="Work Sans" w:hAnsi="Work Sans"/>
              </w:rPr>
              <w:t xml:space="preserve">, </w:t>
            </w:r>
            <w:r w:rsidR="3B077BB2" w:rsidRPr="14182209">
              <w:rPr>
                <w:rFonts w:ascii="Work Sans" w:hAnsi="Work Sans"/>
              </w:rPr>
              <w:t xml:space="preserve">with reference to </w:t>
            </w:r>
            <w:r w:rsidR="3B077BB2" w:rsidRPr="00971F70">
              <w:rPr>
                <w:rFonts w:ascii="Work Sans" w:hAnsi="Work Sans"/>
                <w:b/>
                <w:bCs/>
              </w:rPr>
              <w:t>Figure 1</w:t>
            </w:r>
            <w:r w:rsidR="3B077BB2" w:rsidRPr="14182209">
              <w:rPr>
                <w:rFonts w:ascii="Work Sans" w:hAnsi="Work Sans"/>
              </w:rPr>
              <w:t xml:space="preserve">, </w:t>
            </w:r>
            <w:r w:rsidR="000F63CC" w:rsidRPr="14182209">
              <w:rPr>
                <w:rFonts w:ascii="Work Sans" w:hAnsi="Work Sans"/>
              </w:rPr>
              <w:t>and</w:t>
            </w:r>
            <w:r w:rsidR="73AE485E" w:rsidRPr="14182209">
              <w:rPr>
                <w:rFonts w:ascii="Work Sans" w:hAnsi="Work Sans"/>
              </w:rPr>
              <w:t xml:space="preserve"> explain</w:t>
            </w:r>
            <w:r w:rsidR="000F63CC" w:rsidRPr="14182209">
              <w:rPr>
                <w:rFonts w:ascii="Work Sans" w:hAnsi="Work Sans"/>
              </w:rPr>
              <w:t xml:space="preserve"> its role in maintaining a specific climate in continental Europe.</w:t>
            </w:r>
          </w:p>
          <w:p w14:paraId="2444EEE1" w14:textId="77777777" w:rsidR="000F63CC" w:rsidRDefault="00D7010B" w:rsidP="007348AB">
            <w:pPr>
              <w:pStyle w:val="ListParagraph"/>
              <w:numPr>
                <w:ilvl w:val="0"/>
                <w:numId w:val="3"/>
              </w:numPr>
              <w:rPr>
                <w:rFonts w:ascii="Work Sans" w:hAnsi="Work Sans"/>
              </w:rPr>
            </w:pPr>
            <w:r>
              <w:rPr>
                <w:rFonts w:ascii="Work Sans" w:hAnsi="Work Sans"/>
              </w:rPr>
              <w:t>Explain one of the main impacts of an AMOC slowdown or shutdown.</w:t>
            </w:r>
          </w:p>
          <w:p w14:paraId="1C2CBC47" w14:textId="7A132AF7" w:rsidR="00D7010B" w:rsidRPr="007348AB" w:rsidRDefault="007C220A" w:rsidP="007348AB">
            <w:pPr>
              <w:pStyle w:val="ListParagraph"/>
              <w:numPr>
                <w:ilvl w:val="0"/>
                <w:numId w:val="3"/>
              </w:numPr>
              <w:rPr>
                <w:rFonts w:ascii="Work Sans" w:hAnsi="Work Sans"/>
              </w:rPr>
            </w:pPr>
            <w:r>
              <w:rPr>
                <w:rFonts w:ascii="Work Sans" w:hAnsi="Work Sans"/>
              </w:rPr>
              <w:t>What is the projected future trajectory of the AMOC? How have scientists come to this conclusion?</w:t>
            </w:r>
          </w:p>
        </w:tc>
      </w:tr>
    </w:tbl>
    <w:p w14:paraId="57443340" w14:textId="77777777" w:rsidR="002E5059" w:rsidRPr="00630BDF" w:rsidRDefault="002E5059" w:rsidP="002E5059">
      <w:pPr>
        <w:rPr>
          <w:rFonts w:ascii="Work Sans" w:hAnsi="Work Sans"/>
        </w:rPr>
      </w:pPr>
    </w:p>
    <w:p w14:paraId="6E6EF996" w14:textId="77777777" w:rsidR="002E5059" w:rsidRPr="00630BDF" w:rsidRDefault="002E5059" w:rsidP="002E5059">
      <w:pPr>
        <w:rPr>
          <w:rFonts w:ascii="Work Sans" w:hAnsi="Work Sans"/>
        </w:rPr>
      </w:pPr>
    </w:p>
    <w:p w14:paraId="3269D971" w14:textId="77777777" w:rsidR="002E5059" w:rsidRPr="00630BDF" w:rsidRDefault="002E5059" w:rsidP="002E5059">
      <w:pPr>
        <w:rPr>
          <w:rFonts w:ascii="Work Sans" w:hAnsi="Work Sans"/>
        </w:rPr>
      </w:pPr>
    </w:p>
    <w:p w14:paraId="21C797E6" w14:textId="77777777" w:rsidR="002E5059" w:rsidRPr="00630BDF" w:rsidRDefault="002E5059" w:rsidP="002E5059">
      <w:pPr>
        <w:rPr>
          <w:rFonts w:ascii="Work Sans" w:hAnsi="Work Sans"/>
        </w:rPr>
      </w:pPr>
    </w:p>
    <w:p w14:paraId="3D39EE1F" w14:textId="77777777" w:rsidR="00BF7C69" w:rsidRPr="00630BDF" w:rsidRDefault="00BF7C69">
      <w:pPr>
        <w:rPr>
          <w:rFonts w:ascii="Work Sans" w:hAnsi="Work Sans"/>
        </w:rPr>
      </w:pPr>
    </w:p>
    <w:sectPr w:rsidR="00BF7C69" w:rsidRPr="00630BDF" w:rsidSect="002E5059">
      <w:headerReference w:type="default" r:id="rId12"/>
      <w:pgSz w:w="11906" w:h="16838"/>
      <w:pgMar w:top="1559" w:right="127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5D59" w14:textId="77777777" w:rsidR="00D64F90" w:rsidRDefault="00D64F90" w:rsidP="003026FC">
      <w:pPr>
        <w:spacing w:after="0" w:line="240" w:lineRule="auto"/>
      </w:pPr>
      <w:r>
        <w:separator/>
      </w:r>
    </w:p>
  </w:endnote>
  <w:endnote w:type="continuationSeparator" w:id="0">
    <w:p w14:paraId="7C6773E4" w14:textId="77777777" w:rsidR="00D64F90" w:rsidRDefault="00D64F90" w:rsidP="003026FC">
      <w:pPr>
        <w:spacing w:after="0" w:line="240" w:lineRule="auto"/>
      </w:pPr>
      <w:r>
        <w:continuationSeparator/>
      </w:r>
    </w:p>
  </w:endnote>
  <w:endnote w:type="continuationNotice" w:id="1">
    <w:p w14:paraId="52B09150" w14:textId="77777777" w:rsidR="00D64F90" w:rsidRDefault="00D64F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wzald Book">
    <w:panose1 w:val="02000504000000020004"/>
    <w:charset w:val="00"/>
    <w:family w:val="modern"/>
    <w:notTrueType/>
    <w:pitch w:val="variable"/>
    <w:sig w:usb0="A10000FF" w:usb1="5001207B" w:usb2="00000000" w:usb3="00000000" w:csb0="00000093" w:csb1="00000000"/>
  </w:font>
  <w:font w:name="Work Sans">
    <w:altName w:val="Calibri"/>
    <w:panose1 w:val="00000000000000000000"/>
    <w:charset w:val="00"/>
    <w:family w:val="auto"/>
    <w:pitch w:val="variable"/>
    <w:sig w:usb0="A00000FF" w:usb1="5000E07B" w:usb2="00000000" w:usb3="00000000" w:csb0="000001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2979" w14:textId="77777777" w:rsidR="00D64F90" w:rsidRDefault="00D64F90" w:rsidP="003026FC">
      <w:pPr>
        <w:spacing w:after="0" w:line="240" w:lineRule="auto"/>
      </w:pPr>
      <w:r>
        <w:separator/>
      </w:r>
    </w:p>
  </w:footnote>
  <w:footnote w:type="continuationSeparator" w:id="0">
    <w:p w14:paraId="7B208D05" w14:textId="77777777" w:rsidR="00D64F90" w:rsidRDefault="00D64F90" w:rsidP="003026FC">
      <w:pPr>
        <w:spacing w:after="0" w:line="240" w:lineRule="auto"/>
      </w:pPr>
      <w:r>
        <w:continuationSeparator/>
      </w:r>
    </w:p>
  </w:footnote>
  <w:footnote w:type="continuationNotice" w:id="1">
    <w:p w14:paraId="5F093F99" w14:textId="77777777" w:rsidR="00D64F90" w:rsidRDefault="00D64F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60D5" w14:textId="7CB0E2DD" w:rsidR="002A7D5C" w:rsidRDefault="00F35269">
    <w:pPr>
      <w:pStyle w:val="Header"/>
    </w:pPr>
    <w:r>
      <w:rPr>
        <w:noProof/>
        <w14:ligatures w14:val="standardContextual"/>
      </w:rPr>
      <w:drawing>
        <wp:anchor distT="0" distB="0" distL="114300" distR="114300" simplePos="0" relativeHeight="251658241" behindDoc="0" locked="0" layoutInCell="1" allowOverlap="1" wp14:anchorId="1E2A6E33" wp14:editId="5EDE9828">
          <wp:simplePos x="0" y="0"/>
          <wp:positionH relativeFrom="column">
            <wp:posOffset>5183150</wp:posOffset>
          </wp:positionH>
          <wp:positionV relativeFrom="paragraph">
            <wp:posOffset>-142925</wp:posOffset>
          </wp:positionV>
          <wp:extent cx="1111885" cy="672465"/>
          <wp:effectExtent l="0" t="0" r="0" b="0"/>
          <wp:wrapSquare wrapText="bothSides"/>
          <wp:docPr id="195789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93375" name="Picture 1957893375"/>
                  <pic:cNvPicPr/>
                </pic:nvPicPr>
                <pic:blipFill>
                  <a:blip r:embed="rId1">
                    <a:extLst>
                      <a:ext uri="{28A0092B-C50C-407E-A947-70E740481C1C}">
                        <a14:useLocalDpi xmlns:a14="http://schemas.microsoft.com/office/drawing/2010/main" val="0"/>
                      </a:ext>
                    </a:extLst>
                  </a:blip>
                  <a:stretch>
                    <a:fillRect/>
                  </a:stretch>
                </pic:blipFill>
                <pic:spPr>
                  <a:xfrm>
                    <a:off x="0" y="0"/>
                    <a:ext cx="1111885" cy="672465"/>
                  </a:xfrm>
                  <a:prstGeom prst="rect">
                    <a:avLst/>
                  </a:prstGeom>
                </pic:spPr>
              </pic:pic>
            </a:graphicData>
          </a:graphic>
        </wp:anchor>
      </w:drawing>
    </w:r>
    <w:r w:rsidR="009029E5">
      <w:rPr>
        <w:noProof/>
        <w14:ligatures w14:val="standardContextual"/>
      </w:rPr>
      <w:drawing>
        <wp:anchor distT="0" distB="0" distL="114300" distR="114300" simplePos="0" relativeHeight="251658240" behindDoc="0" locked="0" layoutInCell="1" allowOverlap="1" wp14:anchorId="51D8B6BF" wp14:editId="34858A50">
          <wp:simplePos x="0" y="0"/>
          <wp:positionH relativeFrom="margin">
            <wp:align>left</wp:align>
          </wp:positionH>
          <wp:positionV relativeFrom="paragraph">
            <wp:posOffset>-212090</wp:posOffset>
          </wp:positionV>
          <wp:extent cx="695325" cy="738505"/>
          <wp:effectExtent l="0" t="0" r="9525" b="4445"/>
          <wp:wrapSquare wrapText="bothSides"/>
          <wp:docPr id="1447868755" name="Picture 1447868755" descr="A logo with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68755" name="Picture 1" descr="A logo with colorful circl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95325" cy="7385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7D1D"/>
    <w:multiLevelType w:val="hybridMultilevel"/>
    <w:tmpl w:val="F29A8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41D7A62"/>
    <w:multiLevelType w:val="hybridMultilevel"/>
    <w:tmpl w:val="E95030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1E4EC4"/>
    <w:multiLevelType w:val="hybridMultilevel"/>
    <w:tmpl w:val="1B62E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867311F"/>
    <w:multiLevelType w:val="hybridMultilevel"/>
    <w:tmpl w:val="672675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1671476">
    <w:abstractNumId w:val="0"/>
  </w:num>
  <w:num w:numId="2" w16cid:durableId="1169835706">
    <w:abstractNumId w:val="1"/>
  </w:num>
  <w:num w:numId="3" w16cid:durableId="1373262442">
    <w:abstractNumId w:val="3"/>
  </w:num>
  <w:num w:numId="4" w16cid:durableId="1147553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59"/>
    <w:rsid w:val="000207A6"/>
    <w:rsid w:val="0002494B"/>
    <w:rsid w:val="000264EF"/>
    <w:rsid w:val="00026973"/>
    <w:rsid w:val="000308A3"/>
    <w:rsid w:val="00031B62"/>
    <w:rsid w:val="000345AA"/>
    <w:rsid w:val="00043F60"/>
    <w:rsid w:val="00054150"/>
    <w:rsid w:val="00063012"/>
    <w:rsid w:val="000652B6"/>
    <w:rsid w:val="00076B18"/>
    <w:rsid w:val="00082903"/>
    <w:rsid w:val="00087981"/>
    <w:rsid w:val="000A6ABC"/>
    <w:rsid w:val="000B14BF"/>
    <w:rsid w:val="000B2310"/>
    <w:rsid w:val="000B57CC"/>
    <w:rsid w:val="000B7A86"/>
    <w:rsid w:val="000C0F33"/>
    <w:rsid w:val="000C7B8F"/>
    <w:rsid w:val="000E0742"/>
    <w:rsid w:val="000F11C7"/>
    <w:rsid w:val="000F4A7A"/>
    <w:rsid w:val="000F60F2"/>
    <w:rsid w:val="000F63CC"/>
    <w:rsid w:val="000F6B88"/>
    <w:rsid w:val="0010070A"/>
    <w:rsid w:val="001107AB"/>
    <w:rsid w:val="00112753"/>
    <w:rsid w:val="0011715C"/>
    <w:rsid w:val="00120194"/>
    <w:rsid w:val="0012116D"/>
    <w:rsid w:val="00123563"/>
    <w:rsid w:val="00133D9B"/>
    <w:rsid w:val="001346D5"/>
    <w:rsid w:val="00134DDC"/>
    <w:rsid w:val="00144BBD"/>
    <w:rsid w:val="00150097"/>
    <w:rsid w:val="00151461"/>
    <w:rsid w:val="00153E28"/>
    <w:rsid w:val="001558F7"/>
    <w:rsid w:val="00167CF9"/>
    <w:rsid w:val="001707AE"/>
    <w:rsid w:val="00171D24"/>
    <w:rsid w:val="00174596"/>
    <w:rsid w:val="00184C37"/>
    <w:rsid w:val="00184E79"/>
    <w:rsid w:val="00187F06"/>
    <w:rsid w:val="00191B3C"/>
    <w:rsid w:val="00194766"/>
    <w:rsid w:val="001A0B27"/>
    <w:rsid w:val="001A16B0"/>
    <w:rsid w:val="001D7CBF"/>
    <w:rsid w:val="001E19AB"/>
    <w:rsid w:val="001E4547"/>
    <w:rsid w:val="001E5565"/>
    <w:rsid w:val="001F181F"/>
    <w:rsid w:val="00203288"/>
    <w:rsid w:val="002074E8"/>
    <w:rsid w:val="002118FE"/>
    <w:rsid w:val="00220754"/>
    <w:rsid w:val="00220B62"/>
    <w:rsid w:val="00221985"/>
    <w:rsid w:val="002224DC"/>
    <w:rsid w:val="00226271"/>
    <w:rsid w:val="002353AC"/>
    <w:rsid w:val="00272511"/>
    <w:rsid w:val="00275C58"/>
    <w:rsid w:val="002A1EEB"/>
    <w:rsid w:val="002A7D5C"/>
    <w:rsid w:val="002B297D"/>
    <w:rsid w:val="002B6D2D"/>
    <w:rsid w:val="002C6BE2"/>
    <w:rsid w:val="002C6C15"/>
    <w:rsid w:val="002D321B"/>
    <w:rsid w:val="002D5039"/>
    <w:rsid w:val="002E33BB"/>
    <w:rsid w:val="002E401C"/>
    <w:rsid w:val="002E5059"/>
    <w:rsid w:val="002E753D"/>
    <w:rsid w:val="002F5A6D"/>
    <w:rsid w:val="00301943"/>
    <w:rsid w:val="003026FC"/>
    <w:rsid w:val="003033DC"/>
    <w:rsid w:val="00303915"/>
    <w:rsid w:val="00306BF7"/>
    <w:rsid w:val="00311988"/>
    <w:rsid w:val="003130E6"/>
    <w:rsid w:val="00315E34"/>
    <w:rsid w:val="00321B7E"/>
    <w:rsid w:val="00321D22"/>
    <w:rsid w:val="00323BF7"/>
    <w:rsid w:val="003348AC"/>
    <w:rsid w:val="003378D7"/>
    <w:rsid w:val="0034272C"/>
    <w:rsid w:val="00343315"/>
    <w:rsid w:val="003444B1"/>
    <w:rsid w:val="00345C44"/>
    <w:rsid w:val="00347831"/>
    <w:rsid w:val="0036280D"/>
    <w:rsid w:val="00363878"/>
    <w:rsid w:val="0036521C"/>
    <w:rsid w:val="0037685D"/>
    <w:rsid w:val="0038625B"/>
    <w:rsid w:val="003A2BC6"/>
    <w:rsid w:val="003A3F98"/>
    <w:rsid w:val="003C5CEA"/>
    <w:rsid w:val="003D0414"/>
    <w:rsid w:val="003D6112"/>
    <w:rsid w:val="003D6A42"/>
    <w:rsid w:val="003E0DEE"/>
    <w:rsid w:val="003E5972"/>
    <w:rsid w:val="003F61AA"/>
    <w:rsid w:val="00401F43"/>
    <w:rsid w:val="004065B7"/>
    <w:rsid w:val="00417365"/>
    <w:rsid w:val="0042033A"/>
    <w:rsid w:val="004213A8"/>
    <w:rsid w:val="00427EF2"/>
    <w:rsid w:val="00440D4C"/>
    <w:rsid w:val="00446DC5"/>
    <w:rsid w:val="00462B20"/>
    <w:rsid w:val="004641F7"/>
    <w:rsid w:val="004670C9"/>
    <w:rsid w:val="004670F8"/>
    <w:rsid w:val="004724B3"/>
    <w:rsid w:val="00474819"/>
    <w:rsid w:val="00484B7B"/>
    <w:rsid w:val="00491D75"/>
    <w:rsid w:val="00492436"/>
    <w:rsid w:val="004A40D5"/>
    <w:rsid w:val="004B0761"/>
    <w:rsid w:val="004D1D8D"/>
    <w:rsid w:val="0050667D"/>
    <w:rsid w:val="005138E1"/>
    <w:rsid w:val="00522E59"/>
    <w:rsid w:val="0052551A"/>
    <w:rsid w:val="00531B75"/>
    <w:rsid w:val="00537F9E"/>
    <w:rsid w:val="00545646"/>
    <w:rsid w:val="005536FA"/>
    <w:rsid w:val="00560F94"/>
    <w:rsid w:val="00561C25"/>
    <w:rsid w:val="0057295B"/>
    <w:rsid w:val="0057443B"/>
    <w:rsid w:val="00585947"/>
    <w:rsid w:val="00590C43"/>
    <w:rsid w:val="005924AD"/>
    <w:rsid w:val="00596C0A"/>
    <w:rsid w:val="00596DDC"/>
    <w:rsid w:val="005A560B"/>
    <w:rsid w:val="005B0D32"/>
    <w:rsid w:val="005B42B8"/>
    <w:rsid w:val="005B5E9A"/>
    <w:rsid w:val="005B67C6"/>
    <w:rsid w:val="005C0633"/>
    <w:rsid w:val="005C4A45"/>
    <w:rsid w:val="005D0820"/>
    <w:rsid w:val="005D1891"/>
    <w:rsid w:val="005D2B52"/>
    <w:rsid w:val="005F126F"/>
    <w:rsid w:val="005F19DE"/>
    <w:rsid w:val="005F2E04"/>
    <w:rsid w:val="00602520"/>
    <w:rsid w:val="00610C75"/>
    <w:rsid w:val="0061731E"/>
    <w:rsid w:val="0062635B"/>
    <w:rsid w:val="00627233"/>
    <w:rsid w:val="00630BDF"/>
    <w:rsid w:val="00632550"/>
    <w:rsid w:val="006336C2"/>
    <w:rsid w:val="006365EA"/>
    <w:rsid w:val="00647B2F"/>
    <w:rsid w:val="00647F5D"/>
    <w:rsid w:val="006507FC"/>
    <w:rsid w:val="00651007"/>
    <w:rsid w:val="00651AAC"/>
    <w:rsid w:val="00665941"/>
    <w:rsid w:val="006709F7"/>
    <w:rsid w:val="0069292B"/>
    <w:rsid w:val="006975D1"/>
    <w:rsid w:val="006A0FA4"/>
    <w:rsid w:val="006A1969"/>
    <w:rsid w:val="006B0F33"/>
    <w:rsid w:val="006B6FCB"/>
    <w:rsid w:val="006C2090"/>
    <w:rsid w:val="006D11FB"/>
    <w:rsid w:val="006D794D"/>
    <w:rsid w:val="006E36F4"/>
    <w:rsid w:val="006F40F5"/>
    <w:rsid w:val="00705AFA"/>
    <w:rsid w:val="00715677"/>
    <w:rsid w:val="00725D60"/>
    <w:rsid w:val="00725F51"/>
    <w:rsid w:val="00731289"/>
    <w:rsid w:val="00732A75"/>
    <w:rsid w:val="007348AB"/>
    <w:rsid w:val="00743055"/>
    <w:rsid w:val="007577D3"/>
    <w:rsid w:val="00761AFB"/>
    <w:rsid w:val="00773EF4"/>
    <w:rsid w:val="00777ADB"/>
    <w:rsid w:val="00782C74"/>
    <w:rsid w:val="00795675"/>
    <w:rsid w:val="0079767E"/>
    <w:rsid w:val="007A1D6B"/>
    <w:rsid w:val="007A42ED"/>
    <w:rsid w:val="007B129B"/>
    <w:rsid w:val="007B1453"/>
    <w:rsid w:val="007B326F"/>
    <w:rsid w:val="007B79FC"/>
    <w:rsid w:val="007C220A"/>
    <w:rsid w:val="007C4BF9"/>
    <w:rsid w:val="007D67F8"/>
    <w:rsid w:val="007E2943"/>
    <w:rsid w:val="007F3FC4"/>
    <w:rsid w:val="007F500D"/>
    <w:rsid w:val="00801586"/>
    <w:rsid w:val="0080378C"/>
    <w:rsid w:val="0081057B"/>
    <w:rsid w:val="008107A6"/>
    <w:rsid w:val="00830BB2"/>
    <w:rsid w:val="008323C9"/>
    <w:rsid w:val="0083728A"/>
    <w:rsid w:val="00861812"/>
    <w:rsid w:val="00884B91"/>
    <w:rsid w:val="00885D7A"/>
    <w:rsid w:val="00893BEE"/>
    <w:rsid w:val="008A6211"/>
    <w:rsid w:val="008C170A"/>
    <w:rsid w:val="008D206B"/>
    <w:rsid w:val="008E4588"/>
    <w:rsid w:val="008F0EB6"/>
    <w:rsid w:val="008F419D"/>
    <w:rsid w:val="008F5206"/>
    <w:rsid w:val="008F59F6"/>
    <w:rsid w:val="008F6DF6"/>
    <w:rsid w:val="009000D4"/>
    <w:rsid w:val="009029E5"/>
    <w:rsid w:val="00906BF5"/>
    <w:rsid w:val="0091053B"/>
    <w:rsid w:val="00917743"/>
    <w:rsid w:val="009178B7"/>
    <w:rsid w:val="009223E4"/>
    <w:rsid w:val="00924426"/>
    <w:rsid w:val="009427B7"/>
    <w:rsid w:val="009448DB"/>
    <w:rsid w:val="009632BF"/>
    <w:rsid w:val="009656A7"/>
    <w:rsid w:val="00965FF2"/>
    <w:rsid w:val="00967F89"/>
    <w:rsid w:val="00971A7B"/>
    <w:rsid w:val="00971F70"/>
    <w:rsid w:val="00974D1C"/>
    <w:rsid w:val="00981D14"/>
    <w:rsid w:val="00985955"/>
    <w:rsid w:val="00990B94"/>
    <w:rsid w:val="00990E6B"/>
    <w:rsid w:val="009A0807"/>
    <w:rsid w:val="009A1920"/>
    <w:rsid w:val="009B70C1"/>
    <w:rsid w:val="009B7141"/>
    <w:rsid w:val="009C3065"/>
    <w:rsid w:val="009C7413"/>
    <w:rsid w:val="009D33CF"/>
    <w:rsid w:val="009E3785"/>
    <w:rsid w:val="009E78FF"/>
    <w:rsid w:val="009F04F8"/>
    <w:rsid w:val="00A01B01"/>
    <w:rsid w:val="00A04533"/>
    <w:rsid w:val="00A10BEC"/>
    <w:rsid w:val="00A114DF"/>
    <w:rsid w:val="00A11989"/>
    <w:rsid w:val="00A13417"/>
    <w:rsid w:val="00A1554B"/>
    <w:rsid w:val="00A16813"/>
    <w:rsid w:val="00A2629E"/>
    <w:rsid w:val="00A27577"/>
    <w:rsid w:val="00A305AC"/>
    <w:rsid w:val="00A33EF8"/>
    <w:rsid w:val="00A369B1"/>
    <w:rsid w:val="00A45513"/>
    <w:rsid w:val="00A500BF"/>
    <w:rsid w:val="00A535C2"/>
    <w:rsid w:val="00A7153B"/>
    <w:rsid w:val="00A75196"/>
    <w:rsid w:val="00A94621"/>
    <w:rsid w:val="00AA1E39"/>
    <w:rsid w:val="00AA4909"/>
    <w:rsid w:val="00AA491C"/>
    <w:rsid w:val="00AB2A55"/>
    <w:rsid w:val="00AB704F"/>
    <w:rsid w:val="00AD3FF5"/>
    <w:rsid w:val="00AE0CC4"/>
    <w:rsid w:val="00AE21AB"/>
    <w:rsid w:val="00AE572A"/>
    <w:rsid w:val="00B07AE7"/>
    <w:rsid w:val="00B17317"/>
    <w:rsid w:val="00B21AC5"/>
    <w:rsid w:val="00B4006E"/>
    <w:rsid w:val="00B47609"/>
    <w:rsid w:val="00B51088"/>
    <w:rsid w:val="00B52BCF"/>
    <w:rsid w:val="00B7537F"/>
    <w:rsid w:val="00B84FBC"/>
    <w:rsid w:val="00B91D28"/>
    <w:rsid w:val="00B95891"/>
    <w:rsid w:val="00BA03FA"/>
    <w:rsid w:val="00BA0579"/>
    <w:rsid w:val="00BA6DC9"/>
    <w:rsid w:val="00BA7B98"/>
    <w:rsid w:val="00BB6E26"/>
    <w:rsid w:val="00BB7423"/>
    <w:rsid w:val="00BC1B33"/>
    <w:rsid w:val="00BC35B9"/>
    <w:rsid w:val="00BD1866"/>
    <w:rsid w:val="00BD5A1C"/>
    <w:rsid w:val="00BD72AD"/>
    <w:rsid w:val="00BE304D"/>
    <w:rsid w:val="00BF0CEA"/>
    <w:rsid w:val="00BF7C69"/>
    <w:rsid w:val="00C27D78"/>
    <w:rsid w:val="00C36341"/>
    <w:rsid w:val="00C372F0"/>
    <w:rsid w:val="00C47793"/>
    <w:rsid w:val="00C55405"/>
    <w:rsid w:val="00C60815"/>
    <w:rsid w:val="00C9181E"/>
    <w:rsid w:val="00C97892"/>
    <w:rsid w:val="00CD07BB"/>
    <w:rsid w:val="00CD6F7F"/>
    <w:rsid w:val="00CD71E5"/>
    <w:rsid w:val="00CF27E4"/>
    <w:rsid w:val="00CF3D04"/>
    <w:rsid w:val="00CF4B5D"/>
    <w:rsid w:val="00D10F79"/>
    <w:rsid w:val="00D129EA"/>
    <w:rsid w:val="00D20B35"/>
    <w:rsid w:val="00D24332"/>
    <w:rsid w:val="00D50ADB"/>
    <w:rsid w:val="00D575AC"/>
    <w:rsid w:val="00D64F90"/>
    <w:rsid w:val="00D7010B"/>
    <w:rsid w:val="00D7279B"/>
    <w:rsid w:val="00D81CF9"/>
    <w:rsid w:val="00D90019"/>
    <w:rsid w:val="00D96360"/>
    <w:rsid w:val="00DA0546"/>
    <w:rsid w:val="00DA26DE"/>
    <w:rsid w:val="00DE4851"/>
    <w:rsid w:val="00DE4AE9"/>
    <w:rsid w:val="00E0189C"/>
    <w:rsid w:val="00E05AED"/>
    <w:rsid w:val="00E33C8A"/>
    <w:rsid w:val="00E445E0"/>
    <w:rsid w:val="00E47331"/>
    <w:rsid w:val="00E575D7"/>
    <w:rsid w:val="00E679CD"/>
    <w:rsid w:val="00E924CE"/>
    <w:rsid w:val="00E97A3C"/>
    <w:rsid w:val="00EB067C"/>
    <w:rsid w:val="00EB7D35"/>
    <w:rsid w:val="00EC03D1"/>
    <w:rsid w:val="00ED4AFD"/>
    <w:rsid w:val="00EE1BDB"/>
    <w:rsid w:val="00F100F5"/>
    <w:rsid w:val="00F10B31"/>
    <w:rsid w:val="00F1432B"/>
    <w:rsid w:val="00F222AF"/>
    <w:rsid w:val="00F23DAA"/>
    <w:rsid w:val="00F2612A"/>
    <w:rsid w:val="00F30629"/>
    <w:rsid w:val="00F31742"/>
    <w:rsid w:val="00F35269"/>
    <w:rsid w:val="00F4060D"/>
    <w:rsid w:val="00F52D80"/>
    <w:rsid w:val="00F5688A"/>
    <w:rsid w:val="00F6316F"/>
    <w:rsid w:val="00F717D4"/>
    <w:rsid w:val="00F86980"/>
    <w:rsid w:val="00F87DD6"/>
    <w:rsid w:val="00F97FD7"/>
    <w:rsid w:val="00FA0FCE"/>
    <w:rsid w:val="00FB0532"/>
    <w:rsid w:val="00FE1518"/>
    <w:rsid w:val="00FE1D60"/>
    <w:rsid w:val="00FE56D6"/>
    <w:rsid w:val="00FF157E"/>
    <w:rsid w:val="00FF4F15"/>
    <w:rsid w:val="00FF5DB0"/>
    <w:rsid w:val="03CF4151"/>
    <w:rsid w:val="04F5EAA8"/>
    <w:rsid w:val="07E5716C"/>
    <w:rsid w:val="07FE7936"/>
    <w:rsid w:val="09D2F295"/>
    <w:rsid w:val="0A8C7CD7"/>
    <w:rsid w:val="14182209"/>
    <w:rsid w:val="149406C7"/>
    <w:rsid w:val="19A9E3AA"/>
    <w:rsid w:val="19AD2096"/>
    <w:rsid w:val="1E71C455"/>
    <w:rsid w:val="1EA2FFB8"/>
    <w:rsid w:val="2A035C90"/>
    <w:rsid w:val="2B29020B"/>
    <w:rsid w:val="349B8887"/>
    <w:rsid w:val="3555FD7F"/>
    <w:rsid w:val="36B6FE4E"/>
    <w:rsid w:val="3A419424"/>
    <w:rsid w:val="3B077BB2"/>
    <w:rsid w:val="46F03045"/>
    <w:rsid w:val="502628F8"/>
    <w:rsid w:val="502DBA26"/>
    <w:rsid w:val="5C68FF28"/>
    <w:rsid w:val="60BDA4D7"/>
    <w:rsid w:val="64081772"/>
    <w:rsid w:val="65B18A81"/>
    <w:rsid w:val="73AE485E"/>
    <w:rsid w:val="7B4F6386"/>
    <w:rsid w:val="7D1239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07BF9"/>
  <w15:chartTrackingRefBased/>
  <w15:docId w15:val="{9B15ED09-2D44-4597-88E9-F30B0041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059"/>
    <w:rPr>
      <w:kern w:val="0"/>
      <w14:ligatures w14:val="none"/>
    </w:rPr>
  </w:style>
  <w:style w:type="paragraph" w:styleId="Heading1">
    <w:name w:val="heading 1"/>
    <w:basedOn w:val="Normal"/>
    <w:next w:val="Normal"/>
    <w:link w:val="Heading1Char"/>
    <w:uiPriority w:val="9"/>
    <w:qFormat/>
    <w:rsid w:val="002E50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50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50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50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50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5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0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0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0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0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50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5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059"/>
    <w:rPr>
      <w:rFonts w:eastAsiaTheme="majorEastAsia" w:cstheme="majorBidi"/>
      <w:color w:val="272727" w:themeColor="text1" w:themeTint="D8"/>
    </w:rPr>
  </w:style>
  <w:style w:type="paragraph" w:styleId="Title">
    <w:name w:val="Title"/>
    <w:basedOn w:val="Normal"/>
    <w:next w:val="Normal"/>
    <w:link w:val="TitleChar"/>
    <w:uiPriority w:val="10"/>
    <w:qFormat/>
    <w:rsid w:val="002E5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059"/>
    <w:pPr>
      <w:spacing w:before="160"/>
      <w:jc w:val="center"/>
    </w:pPr>
    <w:rPr>
      <w:i/>
      <w:iCs/>
      <w:color w:val="404040" w:themeColor="text1" w:themeTint="BF"/>
    </w:rPr>
  </w:style>
  <w:style w:type="character" w:customStyle="1" w:styleId="QuoteChar">
    <w:name w:val="Quote Char"/>
    <w:basedOn w:val="DefaultParagraphFont"/>
    <w:link w:val="Quote"/>
    <w:uiPriority w:val="29"/>
    <w:rsid w:val="002E5059"/>
    <w:rPr>
      <w:i/>
      <w:iCs/>
      <w:color w:val="404040" w:themeColor="text1" w:themeTint="BF"/>
    </w:rPr>
  </w:style>
  <w:style w:type="paragraph" w:styleId="ListParagraph">
    <w:name w:val="List Paragraph"/>
    <w:basedOn w:val="Normal"/>
    <w:uiPriority w:val="34"/>
    <w:qFormat/>
    <w:rsid w:val="002E5059"/>
    <w:pPr>
      <w:ind w:left="720"/>
      <w:contextualSpacing/>
    </w:pPr>
  </w:style>
  <w:style w:type="character" w:styleId="IntenseEmphasis">
    <w:name w:val="Intense Emphasis"/>
    <w:basedOn w:val="DefaultParagraphFont"/>
    <w:uiPriority w:val="21"/>
    <w:qFormat/>
    <w:rsid w:val="002E5059"/>
    <w:rPr>
      <w:i/>
      <w:iCs/>
      <w:color w:val="2F5496" w:themeColor="accent1" w:themeShade="BF"/>
    </w:rPr>
  </w:style>
  <w:style w:type="paragraph" w:styleId="IntenseQuote">
    <w:name w:val="Intense Quote"/>
    <w:basedOn w:val="Normal"/>
    <w:next w:val="Normal"/>
    <w:link w:val="IntenseQuoteChar"/>
    <w:uiPriority w:val="30"/>
    <w:qFormat/>
    <w:rsid w:val="002E50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5059"/>
    <w:rPr>
      <w:i/>
      <w:iCs/>
      <w:color w:val="2F5496" w:themeColor="accent1" w:themeShade="BF"/>
    </w:rPr>
  </w:style>
  <w:style w:type="character" w:styleId="IntenseReference">
    <w:name w:val="Intense Reference"/>
    <w:basedOn w:val="DefaultParagraphFont"/>
    <w:uiPriority w:val="32"/>
    <w:qFormat/>
    <w:rsid w:val="002E5059"/>
    <w:rPr>
      <w:b/>
      <w:bCs/>
      <w:smallCaps/>
      <w:color w:val="2F5496" w:themeColor="accent1" w:themeShade="BF"/>
      <w:spacing w:val="5"/>
    </w:rPr>
  </w:style>
  <w:style w:type="table" w:styleId="TableGrid">
    <w:name w:val="Table Grid"/>
    <w:basedOn w:val="TableNormal"/>
    <w:uiPriority w:val="39"/>
    <w:rsid w:val="002E50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5059"/>
    <w:pPr>
      <w:spacing w:after="0" w:line="240" w:lineRule="auto"/>
    </w:pPr>
    <w:rPr>
      <w:kern w:val="0"/>
      <w14:ligatures w14:val="none"/>
    </w:rPr>
  </w:style>
  <w:style w:type="character" w:styleId="Hyperlink">
    <w:name w:val="Hyperlink"/>
    <w:basedOn w:val="DefaultParagraphFont"/>
    <w:uiPriority w:val="99"/>
    <w:unhideWhenUsed/>
    <w:rsid w:val="002E5059"/>
    <w:rPr>
      <w:color w:val="0000FF"/>
      <w:u w:val="single"/>
    </w:rPr>
  </w:style>
  <w:style w:type="paragraph" w:styleId="Header">
    <w:name w:val="header"/>
    <w:basedOn w:val="Normal"/>
    <w:link w:val="HeaderChar"/>
    <w:uiPriority w:val="99"/>
    <w:unhideWhenUsed/>
    <w:rsid w:val="002E50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059"/>
    <w:rPr>
      <w:kern w:val="0"/>
      <w14:ligatures w14:val="none"/>
    </w:rPr>
  </w:style>
  <w:style w:type="character" w:styleId="UnresolvedMention">
    <w:name w:val="Unresolved Mention"/>
    <w:basedOn w:val="DefaultParagraphFont"/>
    <w:uiPriority w:val="99"/>
    <w:semiHidden/>
    <w:unhideWhenUsed/>
    <w:rsid w:val="00531B75"/>
    <w:rPr>
      <w:color w:val="605E5C"/>
      <w:shd w:val="clear" w:color="auto" w:fill="E1DFDD"/>
    </w:rPr>
  </w:style>
  <w:style w:type="character" w:styleId="FollowedHyperlink">
    <w:name w:val="FollowedHyperlink"/>
    <w:basedOn w:val="DefaultParagraphFont"/>
    <w:uiPriority w:val="99"/>
    <w:semiHidden/>
    <w:unhideWhenUsed/>
    <w:rsid w:val="003378D7"/>
    <w:rPr>
      <w:color w:val="954F72" w:themeColor="followedHyperlink"/>
      <w:u w:val="single"/>
    </w:rPr>
  </w:style>
  <w:style w:type="paragraph" w:styleId="Footer">
    <w:name w:val="footer"/>
    <w:basedOn w:val="Normal"/>
    <w:link w:val="FooterChar"/>
    <w:uiPriority w:val="99"/>
    <w:unhideWhenUsed/>
    <w:rsid w:val="003026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6FC"/>
    <w:rPr>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029E5"/>
    <w:pPr>
      <w:spacing w:after="0" w:line="240" w:lineRule="auto"/>
    </w:pPr>
    <w:rPr>
      <w:kern w:val="0"/>
      <w14:ligatures w14:val="none"/>
    </w:rPr>
  </w:style>
  <w:style w:type="paragraph" w:styleId="NormalWeb">
    <w:name w:val="Normal (Web)"/>
    <w:basedOn w:val="Normal"/>
    <w:uiPriority w:val="99"/>
    <w:unhideWhenUsed/>
    <w:rsid w:val="00630BD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379853">
      <w:bodyDiv w:val="1"/>
      <w:marLeft w:val="0"/>
      <w:marRight w:val="0"/>
      <w:marTop w:val="0"/>
      <w:marBottom w:val="0"/>
      <w:divBdr>
        <w:top w:val="none" w:sz="0" w:space="0" w:color="auto"/>
        <w:left w:val="none" w:sz="0" w:space="0" w:color="auto"/>
        <w:bottom w:val="none" w:sz="0" w:space="0" w:color="auto"/>
        <w:right w:val="none" w:sz="0" w:space="0" w:color="auto"/>
      </w:divBdr>
    </w:div>
    <w:div w:id="188359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ies.org/resources/environmental-scientist-climate-tipping-point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CBEE1702AD04E9E39FB20318EB1B8" ma:contentTypeVersion="19" ma:contentTypeDescription="Create a new document." ma:contentTypeScope="" ma:versionID="11aca2f6f5c735525057a58e1f285070">
  <xsd:schema xmlns:xsd="http://www.w3.org/2001/XMLSchema" xmlns:xs="http://www.w3.org/2001/XMLSchema" xmlns:p="http://schemas.microsoft.com/office/2006/metadata/properties" xmlns:ns2="af2531c7-eb33-48be-9889-ee787ffa7851" xmlns:ns3="36d7926d-c934-413c-9e6d-038f771d3aae" targetNamespace="http://schemas.microsoft.com/office/2006/metadata/properties" ma:root="true" ma:fieldsID="b029af9efe89402f0e62787dc94f6d68" ns2:_="" ns3:_="">
    <xsd:import namespace="af2531c7-eb33-48be-9889-ee787ffa7851"/>
    <xsd:import namespace="36d7926d-c934-413c-9e6d-038f771d3a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531c7-eb33-48be-9889-ee787ffa7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b1273-ba6e-4f62-97de-97f23fcf3c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d7926d-c934-413c-9e6d-038f771d3a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7845a0-c36c-4b7a-8df5-0d2d7e2599f0}" ma:internalName="TaxCatchAll" ma:showField="CatchAllData" ma:web="36d7926d-c934-413c-9e6d-038f771d3a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2531c7-eb33-48be-9889-ee787ffa7851">
      <Terms xmlns="http://schemas.microsoft.com/office/infopath/2007/PartnerControls"/>
    </lcf76f155ced4ddcb4097134ff3c332f>
    <TaxCatchAll xmlns="36d7926d-c934-413c-9e6d-038f771d3aae" xsi:nil="true"/>
  </documentManagement>
</p:properties>
</file>

<file path=customXml/itemProps1.xml><?xml version="1.0" encoding="utf-8"?>
<ds:datastoreItem xmlns:ds="http://schemas.openxmlformats.org/officeDocument/2006/customXml" ds:itemID="{52B57F8A-4276-4F37-AD4F-263110616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531c7-eb33-48be-9889-ee787ffa7851"/>
    <ds:schemaRef ds:uri="36d7926d-c934-413c-9e6d-038f771d3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2A527-F327-42C6-BFE9-732C5D68C5E0}">
  <ds:schemaRefs>
    <ds:schemaRef ds:uri="http://schemas.microsoft.com/sharepoint/v3/contenttype/forms"/>
  </ds:schemaRefs>
</ds:datastoreItem>
</file>

<file path=customXml/itemProps3.xml><?xml version="1.0" encoding="utf-8"?>
<ds:datastoreItem xmlns:ds="http://schemas.openxmlformats.org/officeDocument/2006/customXml" ds:itemID="{A8C887F2-00B6-4576-BA7C-1852054F2347}">
  <ds:schemaRefs>
    <ds:schemaRef ds:uri="http://schemas.microsoft.com/office/2006/metadata/properties"/>
    <ds:schemaRef ds:uri="http://schemas.microsoft.com/office/infopath/2007/PartnerControls"/>
    <ds:schemaRef ds:uri="af2531c7-eb33-48be-9889-ee787ffa7851"/>
    <ds:schemaRef ds:uri="36d7926d-c934-413c-9e6d-038f771d3aa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804</Words>
  <Characters>4589</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Rowland</dc:creator>
  <cp:keywords/>
  <dc:description/>
  <cp:lastModifiedBy>Lucy Rowland</cp:lastModifiedBy>
  <cp:revision>33</cp:revision>
  <dcterms:created xsi:type="dcterms:W3CDTF">2026-07-15T11:34:00Z</dcterms:created>
  <dcterms:modified xsi:type="dcterms:W3CDTF">2026-10-06T13:47:00Z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0x010100D50CBEE1702AD04E9E39FB20318EB1B8</vt:lpwstr>
  </property>
  <property fmtid="{D5CDD505-2E9C-101B-9397-08002B2CF9AE}" pid="3" name="MediaServiceImageTags">
    <vt:lpwstr/>
  </property>
</Properties>
</file>