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0C48" w14:textId="77777777" w:rsidR="005F19DE" w:rsidRDefault="002E5059" w:rsidP="002E5059">
      <w:pPr>
        <w:jc w:val="center"/>
        <w:rPr>
          <w:rFonts w:ascii="Newzald Book" w:hAnsi="Newzald Book"/>
          <w:b/>
          <w:bCs/>
          <w:i/>
          <w:iCs/>
          <w:color w:val="1A1730"/>
          <w:sz w:val="28"/>
          <w:szCs w:val="28"/>
        </w:rPr>
      </w:pPr>
      <w:r w:rsidRPr="00DE4AE9">
        <w:rPr>
          <w:rFonts w:ascii="Newzald Book" w:hAnsi="Newzald Book"/>
          <w:b/>
          <w:bCs/>
          <w:i/>
          <w:iCs/>
          <w:color w:val="1A1730"/>
          <w:sz w:val="28"/>
          <w:szCs w:val="28"/>
        </w:rPr>
        <w:softHyphen/>
      </w:r>
      <w:r w:rsidRPr="00DE4AE9">
        <w:rPr>
          <w:rFonts w:ascii="Newzald Book" w:hAnsi="Newzald Book"/>
          <w:b/>
          <w:bCs/>
          <w:i/>
          <w:iCs/>
          <w:color w:val="1A1730"/>
          <w:sz w:val="28"/>
          <w:szCs w:val="28"/>
        </w:rPr>
        <w:softHyphen/>
      </w:r>
      <w:r w:rsidRPr="00DE4AE9">
        <w:rPr>
          <w:rFonts w:ascii="Newzald Book" w:hAnsi="Newzald Book"/>
          <w:b/>
          <w:bCs/>
          <w:i/>
          <w:iCs/>
          <w:color w:val="1A1730"/>
          <w:sz w:val="28"/>
          <w:szCs w:val="28"/>
        </w:rPr>
        <w:softHyphen/>
      </w:r>
    </w:p>
    <w:p w14:paraId="23ED5A70" w14:textId="39F60315" w:rsidR="002E5059" w:rsidRPr="00DE4AE9" w:rsidRDefault="002E5059" w:rsidP="002E5059">
      <w:pPr>
        <w:jc w:val="center"/>
        <w:rPr>
          <w:rFonts w:ascii="Newzald Book" w:hAnsi="Newzald Book"/>
          <w:b/>
          <w:bCs/>
          <w:color w:val="1A1730"/>
          <w:sz w:val="28"/>
          <w:szCs w:val="28"/>
        </w:rPr>
      </w:pPr>
      <w:r w:rsidRPr="00DE4AE9">
        <w:rPr>
          <w:rFonts w:ascii="Newzald Book" w:hAnsi="Newzald Book"/>
          <w:b/>
          <w:bCs/>
          <w:i/>
          <w:iCs/>
          <w:color w:val="1A1730"/>
          <w:sz w:val="28"/>
          <w:szCs w:val="28"/>
        </w:rPr>
        <w:t>environmental SCIENTIST</w:t>
      </w:r>
      <w:r w:rsidR="00167CF9">
        <w:rPr>
          <w:rFonts w:ascii="Newzald Book" w:hAnsi="Newzald Book"/>
          <w:b/>
          <w:bCs/>
          <w:i/>
          <w:iCs/>
          <w:color w:val="1A1730"/>
          <w:sz w:val="28"/>
          <w:szCs w:val="28"/>
        </w:rPr>
        <w:t xml:space="preserve"> </w:t>
      </w:r>
      <w:r w:rsidRPr="00DE4AE9">
        <w:rPr>
          <w:rFonts w:ascii="Newzald Book" w:hAnsi="Newzald Book"/>
          <w:b/>
          <w:bCs/>
          <w:color w:val="1A1730"/>
          <w:sz w:val="28"/>
          <w:szCs w:val="28"/>
        </w:rPr>
        <w:t xml:space="preserve"> journal: Learning Resource Notes</w:t>
      </w:r>
    </w:p>
    <w:p w14:paraId="63B3538D" w14:textId="77777777" w:rsidR="002E5059" w:rsidRPr="00630BDF" w:rsidRDefault="002E5059" w:rsidP="002E5059">
      <w:pPr>
        <w:pStyle w:val="NoSpacing"/>
        <w:jc w:val="both"/>
        <w:rPr>
          <w:rFonts w:ascii="Work Sans" w:hAnsi="Work Sans"/>
        </w:rPr>
      </w:pPr>
      <w:r w:rsidRPr="00630BDF">
        <w:rPr>
          <w:rFonts w:ascii="Work Sans" w:hAnsi="Work Sans"/>
        </w:rPr>
        <w:t xml:space="preserve">The purpose of these educational resource notes is to provide a format for informal, seminar-style discussions of the topics explored in the latest edition of the journal of the Institution of Environmental Sciences. </w:t>
      </w:r>
    </w:p>
    <w:p w14:paraId="71993265" w14:textId="77777777" w:rsidR="002E5059" w:rsidRPr="00630BDF" w:rsidRDefault="002E5059" w:rsidP="002E5059">
      <w:pPr>
        <w:pStyle w:val="NoSpacing"/>
        <w:jc w:val="both"/>
        <w:rPr>
          <w:rFonts w:ascii="Work Sans" w:hAnsi="Work Sans"/>
        </w:rPr>
      </w:pPr>
      <w:r w:rsidRPr="00630BDF">
        <w:rPr>
          <w:rFonts w:ascii="Work Sans" w:hAnsi="Work Sans"/>
        </w:rPr>
        <w:t xml:space="preserve"> </w:t>
      </w:r>
    </w:p>
    <w:p w14:paraId="1D2F354B" w14:textId="77777777" w:rsidR="002E5059" w:rsidRPr="00630BDF" w:rsidRDefault="002E5059" w:rsidP="002E5059">
      <w:pPr>
        <w:pStyle w:val="NoSpacing"/>
        <w:jc w:val="both"/>
        <w:rPr>
          <w:rFonts w:ascii="Work Sans" w:hAnsi="Work Sans"/>
        </w:rPr>
      </w:pPr>
      <w:r w:rsidRPr="00630BDF">
        <w:rPr>
          <w:rFonts w:ascii="Work Sans" w:hAnsi="Work Sans"/>
        </w:rPr>
        <w:t>Through discussion of the ideas and issues presented within the journal, they aim to supplement and enhance students’ knowledge and understanding of a broad range of environmental science issues and provide insights into the professional concerns of practising environmental scientists.</w:t>
      </w:r>
    </w:p>
    <w:p w14:paraId="371C479A" w14:textId="77777777" w:rsidR="002E5059" w:rsidRPr="00630BDF" w:rsidRDefault="002E5059" w:rsidP="002E5059">
      <w:pPr>
        <w:pStyle w:val="NoSpacing"/>
        <w:rPr>
          <w:rFonts w:ascii="Work Sans" w:hAnsi="Work Sans"/>
          <w:b/>
          <w:bCs/>
        </w:rPr>
      </w:pPr>
    </w:p>
    <w:p w14:paraId="52F3B21D" w14:textId="77777777" w:rsidR="002E5059" w:rsidRPr="00630BDF" w:rsidRDefault="002E5059" w:rsidP="002E5059">
      <w:pPr>
        <w:pStyle w:val="NoSpacing"/>
        <w:rPr>
          <w:rFonts w:ascii="Work Sans" w:hAnsi="Work Sans"/>
          <w:b/>
          <w:bCs/>
        </w:rPr>
      </w:pPr>
      <w:r w:rsidRPr="00630BDF">
        <w:rPr>
          <w:rFonts w:ascii="Work Sans" w:hAnsi="Work Sans"/>
          <w:b/>
          <w:bCs/>
        </w:rPr>
        <w:t xml:space="preserve">Articles in focus </w:t>
      </w:r>
    </w:p>
    <w:p w14:paraId="6A04F433" w14:textId="77777777" w:rsidR="002E5059" w:rsidRPr="00630BDF" w:rsidRDefault="002E5059" w:rsidP="002E5059">
      <w:pPr>
        <w:pStyle w:val="NoSpacing"/>
        <w:jc w:val="both"/>
        <w:rPr>
          <w:rFonts w:ascii="Work Sans" w:hAnsi="Work Sans"/>
          <w:color w:val="000000"/>
        </w:rPr>
      </w:pPr>
      <w:r w:rsidRPr="00630BDF">
        <w:rPr>
          <w:rFonts w:ascii="Work Sans" w:hAnsi="Work Sans"/>
        </w:rPr>
        <w:t>The below articles have been selected as particularly relevant for in-depth discussion, allowing for wider debate of the key elements of the article topic. S</w:t>
      </w:r>
      <w:r w:rsidRPr="00630BDF">
        <w:rPr>
          <w:rFonts w:ascii="Work Sans" w:hAnsi="Work Sans"/>
          <w:color w:val="000000"/>
        </w:rPr>
        <w:t xml:space="preserve">ome </w:t>
      </w:r>
      <w:r w:rsidRPr="00630BDF">
        <w:rPr>
          <w:rFonts w:ascii="Work Sans" w:hAnsi="Work Sans"/>
        </w:rPr>
        <w:t>specific</w:t>
      </w:r>
      <w:r w:rsidRPr="00630BDF">
        <w:rPr>
          <w:rFonts w:ascii="Work Sans" w:hAnsi="Work Sans"/>
          <w:color w:val="000000"/>
        </w:rPr>
        <w:t xml:space="preserve"> questions you may </w:t>
      </w:r>
      <w:r w:rsidRPr="00630BDF">
        <w:rPr>
          <w:rFonts w:ascii="Work Sans" w:hAnsi="Work Sans"/>
        </w:rPr>
        <w:t>wish</w:t>
      </w:r>
      <w:r w:rsidRPr="00630BDF">
        <w:rPr>
          <w:rFonts w:ascii="Work Sans" w:hAnsi="Work Sans"/>
          <w:color w:val="000000"/>
        </w:rPr>
        <w:t xml:space="preserve"> to consider when reading and discussing </w:t>
      </w:r>
      <w:r w:rsidRPr="00630BDF">
        <w:rPr>
          <w:rFonts w:ascii="Work Sans" w:hAnsi="Work Sans"/>
        </w:rPr>
        <w:t xml:space="preserve">these </w:t>
      </w:r>
      <w:r w:rsidRPr="00630BDF">
        <w:rPr>
          <w:rFonts w:ascii="Work Sans" w:hAnsi="Work Sans"/>
          <w:color w:val="000000"/>
        </w:rPr>
        <w:t>articles </w:t>
      </w:r>
      <w:r w:rsidRPr="00630BDF">
        <w:rPr>
          <w:rFonts w:ascii="Work Sans" w:hAnsi="Work Sans"/>
        </w:rPr>
        <w:t>are outlined.</w:t>
      </w:r>
      <w:r w:rsidRPr="00630BDF">
        <w:rPr>
          <w:rFonts w:ascii="Work Sans" w:hAnsi="Work Sans"/>
          <w:color w:val="000000"/>
        </w:rPr>
        <w:t xml:space="preserve"> </w:t>
      </w:r>
    </w:p>
    <w:p w14:paraId="716FFD7A" w14:textId="77777777" w:rsidR="002E5059" w:rsidRPr="00630BDF" w:rsidRDefault="002E5059" w:rsidP="002E5059">
      <w:pPr>
        <w:pStyle w:val="NoSpacing"/>
        <w:jc w:val="both"/>
        <w:rPr>
          <w:rFonts w:ascii="Work Sans" w:hAnsi="Work Sans"/>
          <w:color w:val="000000"/>
        </w:rPr>
      </w:pPr>
    </w:p>
    <w:p w14:paraId="705C29F4" w14:textId="77777777" w:rsidR="002E5059" w:rsidRPr="00630BDF" w:rsidRDefault="002E5059" w:rsidP="002E5059">
      <w:pPr>
        <w:pStyle w:val="NoSpacing"/>
        <w:rPr>
          <w:rFonts w:ascii="Work Sans" w:hAnsi="Work Sans"/>
        </w:rPr>
      </w:pPr>
    </w:p>
    <w:tbl>
      <w:tblPr>
        <w:tblStyle w:val="TableGrid"/>
        <w:tblW w:w="9498" w:type="dxa"/>
        <w:tblInd w:w="-5" w:type="dxa"/>
        <w:tblLook w:val="04A0" w:firstRow="1" w:lastRow="0" w:firstColumn="1" w:lastColumn="0" w:noHBand="0" w:noVBand="1"/>
      </w:tblPr>
      <w:tblGrid>
        <w:gridCol w:w="1696"/>
        <w:gridCol w:w="7802"/>
      </w:tblGrid>
      <w:tr w:rsidR="002E5059" w:rsidRPr="00630BDF" w14:paraId="465DCF73" w14:textId="77777777" w:rsidTr="00D96360">
        <w:trPr>
          <w:trHeight w:val="1375"/>
        </w:trPr>
        <w:tc>
          <w:tcPr>
            <w:tcW w:w="1696" w:type="dxa"/>
            <w:shd w:val="clear" w:color="auto" w:fill="D9D9D9" w:themeFill="background1" w:themeFillShade="D9"/>
            <w:vAlign w:val="center"/>
          </w:tcPr>
          <w:p w14:paraId="1AC26091" w14:textId="77777777" w:rsidR="002E5059" w:rsidRPr="00630BDF" w:rsidRDefault="002E5059" w:rsidP="00D96360">
            <w:pPr>
              <w:rPr>
                <w:rFonts w:ascii="Work Sans" w:hAnsi="Work Sans"/>
              </w:rPr>
            </w:pPr>
            <w:r w:rsidRPr="00630BDF">
              <w:rPr>
                <w:rFonts w:ascii="Work Sans" w:hAnsi="Work Sans"/>
              </w:rPr>
              <w:t>Learning outcomes</w:t>
            </w:r>
          </w:p>
        </w:tc>
        <w:tc>
          <w:tcPr>
            <w:tcW w:w="7802" w:type="dxa"/>
            <w:vAlign w:val="center"/>
          </w:tcPr>
          <w:p w14:paraId="2DFF55F2" w14:textId="1D5F11C1"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Understand the main </w:t>
            </w:r>
            <w:r w:rsidR="00990E6B" w:rsidRPr="00630BDF">
              <w:rPr>
                <w:rFonts w:ascii="Work Sans" w:hAnsi="Work Sans"/>
              </w:rPr>
              <w:t>concepts and challenges</w:t>
            </w:r>
            <w:r w:rsidRPr="00630BDF">
              <w:rPr>
                <w:rFonts w:ascii="Work Sans" w:hAnsi="Work Sans"/>
              </w:rPr>
              <w:t xml:space="preserve"> discussed in the </w:t>
            </w:r>
            <w:r w:rsidR="005D0820" w:rsidRPr="00630BDF">
              <w:rPr>
                <w:rFonts w:ascii="Work Sans" w:hAnsi="Work Sans"/>
              </w:rPr>
              <w:t>edition</w:t>
            </w:r>
          </w:p>
          <w:p w14:paraId="3790F264" w14:textId="5EC8EBE4"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Describe the </w:t>
            </w:r>
            <w:r w:rsidR="00990E6B" w:rsidRPr="00630BDF">
              <w:rPr>
                <w:rFonts w:ascii="Work Sans" w:hAnsi="Work Sans"/>
              </w:rPr>
              <w:t xml:space="preserve">conclusions reached by authors, </w:t>
            </w:r>
            <w:r w:rsidRPr="00630BDF">
              <w:rPr>
                <w:rFonts w:ascii="Work Sans" w:hAnsi="Work Sans"/>
              </w:rPr>
              <w:t xml:space="preserve">and </w:t>
            </w:r>
            <w:r w:rsidR="00990E6B" w:rsidRPr="00630BDF">
              <w:rPr>
                <w:rFonts w:ascii="Work Sans" w:hAnsi="Work Sans"/>
              </w:rPr>
              <w:t xml:space="preserve">identify </w:t>
            </w:r>
            <w:r w:rsidRPr="00630BDF">
              <w:rPr>
                <w:rFonts w:ascii="Work Sans" w:hAnsi="Work Sans"/>
              </w:rPr>
              <w:t>their relevance to the environmental science sector</w:t>
            </w:r>
          </w:p>
          <w:p w14:paraId="4EAFB920" w14:textId="534A537F"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Critically reflect on the </w:t>
            </w:r>
            <w:r w:rsidR="00990E6B" w:rsidRPr="00630BDF">
              <w:rPr>
                <w:rFonts w:ascii="Work Sans" w:hAnsi="Work Sans"/>
              </w:rPr>
              <w:t xml:space="preserve">ideas presented </w:t>
            </w:r>
          </w:p>
        </w:tc>
      </w:tr>
      <w:tr w:rsidR="002E5059" w:rsidRPr="00630BDF" w14:paraId="468D8679" w14:textId="77777777" w:rsidTr="00D96360">
        <w:trPr>
          <w:trHeight w:val="3110"/>
        </w:trPr>
        <w:tc>
          <w:tcPr>
            <w:tcW w:w="1696" w:type="dxa"/>
            <w:shd w:val="clear" w:color="auto" w:fill="D9D9D9" w:themeFill="background1" w:themeFillShade="D9"/>
            <w:vAlign w:val="center"/>
          </w:tcPr>
          <w:p w14:paraId="17EC4BEA" w14:textId="77777777" w:rsidR="002E5059" w:rsidRPr="00630BDF" w:rsidRDefault="002E5059" w:rsidP="00D96360">
            <w:pPr>
              <w:rPr>
                <w:rFonts w:ascii="Work Sans" w:hAnsi="Work Sans"/>
              </w:rPr>
            </w:pPr>
            <w:r w:rsidRPr="00630BDF">
              <w:rPr>
                <w:rFonts w:ascii="Work Sans" w:hAnsi="Work Sans"/>
              </w:rPr>
              <w:t>Format</w:t>
            </w:r>
          </w:p>
        </w:tc>
        <w:tc>
          <w:tcPr>
            <w:tcW w:w="7802" w:type="dxa"/>
            <w:vAlign w:val="center"/>
          </w:tcPr>
          <w:p w14:paraId="5F292161" w14:textId="08E8E221" w:rsidR="002E5059" w:rsidRPr="00630BDF" w:rsidRDefault="002E5059" w:rsidP="00D96360">
            <w:pPr>
              <w:pStyle w:val="NoSpacing"/>
              <w:numPr>
                <w:ilvl w:val="0"/>
                <w:numId w:val="1"/>
              </w:numPr>
              <w:rPr>
                <w:rFonts w:ascii="Work Sans" w:hAnsi="Work Sans"/>
              </w:rPr>
            </w:pPr>
            <w:r w:rsidRPr="00630BDF">
              <w:rPr>
                <w:rFonts w:ascii="Work Sans" w:hAnsi="Work Sans"/>
              </w:rPr>
              <w:t xml:space="preserve">Articles of particular interest are to be selected and shared with the group to read ahead of the discussion. Suggestions of focus articles are </w:t>
            </w:r>
            <w:r w:rsidR="005D0820" w:rsidRPr="00630BDF">
              <w:rPr>
                <w:rFonts w:ascii="Work Sans" w:hAnsi="Work Sans"/>
              </w:rPr>
              <w:t>described below.</w:t>
            </w:r>
          </w:p>
          <w:p w14:paraId="47F26A1E" w14:textId="75555417" w:rsidR="002E5059" w:rsidRPr="00630BDF" w:rsidRDefault="002E5059" w:rsidP="00D96360">
            <w:pPr>
              <w:pStyle w:val="NoSpacing"/>
              <w:numPr>
                <w:ilvl w:val="0"/>
                <w:numId w:val="1"/>
              </w:numPr>
              <w:rPr>
                <w:rFonts w:ascii="Work Sans" w:hAnsi="Work Sans"/>
              </w:rPr>
            </w:pPr>
            <w:r w:rsidRPr="00630BDF">
              <w:rPr>
                <w:rFonts w:ascii="Work Sans" w:hAnsi="Work Sans"/>
              </w:rPr>
              <w:t>Small group discussions of articles that closely relate to programme content to supplement learning</w:t>
            </w:r>
            <w:r w:rsidR="000B57CC" w:rsidRPr="00630BDF">
              <w:rPr>
                <w:rFonts w:ascii="Work Sans" w:hAnsi="Work Sans"/>
              </w:rPr>
              <w:t>.</w:t>
            </w:r>
          </w:p>
          <w:p w14:paraId="39DDDF9C" w14:textId="6587E2DA" w:rsidR="002E5059" w:rsidRPr="00630BDF" w:rsidRDefault="002E5059" w:rsidP="00D96360">
            <w:pPr>
              <w:pStyle w:val="NoSpacing"/>
              <w:numPr>
                <w:ilvl w:val="0"/>
                <w:numId w:val="1"/>
              </w:numPr>
              <w:rPr>
                <w:rFonts w:ascii="Work Sans" w:hAnsi="Work Sans"/>
              </w:rPr>
            </w:pPr>
            <w:r w:rsidRPr="00630BDF">
              <w:rPr>
                <w:rFonts w:ascii="Work Sans" w:hAnsi="Work Sans"/>
              </w:rPr>
              <w:t>Discussions can be led by participants or the tutor, using the ‘articles in focus’ resource to prompt debate and aid the conversation</w:t>
            </w:r>
            <w:r w:rsidR="000B57CC" w:rsidRPr="00630BDF">
              <w:rPr>
                <w:rFonts w:ascii="Work Sans" w:hAnsi="Work Sans"/>
              </w:rPr>
              <w:t>.</w:t>
            </w:r>
          </w:p>
          <w:p w14:paraId="0FD82DEE" w14:textId="6AAAE065" w:rsidR="002E5059" w:rsidRPr="00630BDF" w:rsidRDefault="002E5059" w:rsidP="00D96360">
            <w:pPr>
              <w:pStyle w:val="NoSpacing"/>
              <w:numPr>
                <w:ilvl w:val="0"/>
                <w:numId w:val="1"/>
              </w:numPr>
              <w:rPr>
                <w:rFonts w:ascii="Work Sans" w:hAnsi="Work Sans"/>
              </w:rPr>
            </w:pPr>
            <w:r w:rsidRPr="00630BDF">
              <w:rPr>
                <w:rFonts w:ascii="Work Sans" w:hAnsi="Work Sans"/>
              </w:rPr>
              <w:t>The suggested discussion points and questions provided in this pack for selected articles can be used as a starting point to guide the discussion</w:t>
            </w:r>
            <w:r w:rsidR="000B57CC" w:rsidRPr="00630BDF">
              <w:rPr>
                <w:rFonts w:ascii="Work Sans" w:hAnsi="Work Sans"/>
              </w:rPr>
              <w:t>.</w:t>
            </w:r>
          </w:p>
          <w:p w14:paraId="7366B729" w14:textId="7F7C8F77" w:rsidR="002E5059" w:rsidRPr="00630BDF" w:rsidRDefault="002E5059" w:rsidP="00D96360">
            <w:pPr>
              <w:pStyle w:val="NoSpacing"/>
              <w:numPr>
                <w:ilvl w:val="0"/>
                <w:numId w:val="1"/>
              </w:numPr>
              <w:rPr>
                <w:rFonts w:ascii="Work Sans" w:hAnsi="Work Sans"/>
              </w:rPr>
            </w:pPr>
            <w:r w:rsidRPr="00630BDF">
              <w:rPr>
                <w:rFonts w:ascii="Work Sans" w:hAnsi="Work Sans"/>
              </w:rPr>
              <w:t>Students can be encouraged to choose to discuss any of the other articles within the issue</w:t>
            </w:r>
            <w:r w:rsidR="000B57CC" w:rsidRPr="00630BDF">
              <w:rPr>
                <w:rFonts w:ascii="Work Sans" w:hAnsi="Work Sans"/>
              </w:rPr>
              <w:t>.</w:t>
            </w:r>
          </w:p>
        </w:tc>
      </w:tr>
    </w:tbl>
    <w:p w14:paraId="3E6C9D0F" w14:textId="77777777" w:rsidR="002E5059" w:rsidRPr="00630BDF" w:rsidRDefault="002E5059" w:rsidP="002E5059">
      <w:pPr>
        <w:rPr>
          <w:rFonts w:ascii="Work Sans" w:hAnsi="Work Sans"/>
          <w:sz w:val="20"/>
          <w:szCs w:val="20"/>
        </w:rPr>
      </w:pPr>
    </w:p>
    <w:p w14:paraId="67D21EC4" w14:textId="748B09C6" w:rsidR="002E5059" w:rsidRPr="00630BDF" w:rsidRDefault="002E5059" w:rsidP="002E5059">
      <w:pPr>
        <w:rPr>
          <w:rFonts w:ascii="Work Sans" w:hAnsi="Work Sans"/>
          <w:b/>
          <w:bCs/>
        </w:rPr>
      </w:pPr>
      <w:r w:rsidRPr="00630BDF">
        <w:rPr>
          <w:rFonts w:ascii="Work Sans" w:hAnsi="Work Sans"/>
          <w:noProof/>
          <w14:ligatures w14:val="standardContextual"/>
        </w:rPr>
        <w:drawing>
          <wp:anchor distT="0" distB="0" distL="114300" distR="114300" simplePos="0" relativeHeight="251658240" behindDoc="0" locked="0" layoutInCell="1" allowOverlap="1" wp14:anchorId="011B0FDA" wp14:editId="2FAFA374">
            <wp:simplePos x="0" y="0"/>
            <wp:positionH relativeFrom="column">
              <wp:posOffset>43815</wp:posOffset>
            </wp:positionH>
            <wp:positionV relativeFrom="paragraph">
              <wp:posOffset>72390</wp:posOffset>
            </wp:positionV>
            <wp:extent cx="1550670" cy="2192655"/>
            <wp:effectExtent l="0" t="0" r="0" b="0"/>
            <wp:wrapSquare wrapText="bothSides"/>
            <wp:docPr id="1600721181" name="Picture 160072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21181" name="Picture 16007211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0670" cy="2192655"/>
                    </a:xfrm>
                    <a:prstGeom prst="rect">
                      <a:avLst/>
                    </a:prstGeom>
                  </pic:spPr>
                </pic:pic>
              </a:graphicData>
            </a:graphic>
            <wp14:sizeRelH relativeFrom="margin">
              <wp14:pctWidth>0</wp14:pctWidth>
            </wp14:sizeRelH>
            <wp14:sizeRelV relativeFrom="margin">
              <wp14:pctHeight>0</wp14:pctHeight>
            </wp14:sizeRelV>
          </wp:anchor>
        </w:drawing>
      </w:r>
      <w:r w:rsidRPr="00630BDF">
        <w:rPr>
          <w:rFonts w:ascii="Work Sans" w:hAnsi="Work Sans"/>
        </w:rPr>
        <w:t>e</w:t>
      </w:r>
      <w:r w:rsidRPr="00630BDF">
        <w:rPr>
          <w:rFonts w:ascii="Work Sans" w:hAnsi="Work Sans"/>
          <w:i/>
          <w:iCs/>
        </w:rPr>
        <w:t>nvironmental SCIENTIST</w:t>
      </w:r>
      <w:r w:rsidRPr="00630BDF">
        <w:rPr>
          <w:rFonts w:ascii="Work Sans" w:hAnsi="Work Sans"/>
          <w:b/>
          <w:bCs/>
        </w:rPr>
        <w:br/>
      </w:r>
      <w:r w:rsidR="007B79FC">
        <w:rPr>
          <w:rFonts w:ascii="Work Sans" w:hAnsi="Work Sans"/>
          <w:b/>
          <w:bCs/>
        </w:rPr>
        <w:t>Fields of Change</w:t>
      </w:r>
      <w:r w:rsidRPr="00630BDF">
        <w:rPr>
          <w:rFonts w:ascii="Work Sans" w:hAnsi="Work Sans"/>
          <w:b/>
          <w:bCs/>
        </w:rPr>
        <w:br/>
      </w:r>
      <w:r w:rsidRPr="00630BDF">
        <w:rPr>
          <w:rFonts w:ascii="Work Sans" w:hAnsi="Work Sans"/>
        </w:rPr>
        <w:t>Vol 3</w:t>
      </w:r>
      <w:r w:rsidR="0012116D">
        <w:rPr>
          <w:rFonts w:ascii="Work Sans" w:hAnsi="Work Sans"/>
        </w:rPr>
        <w:t>5</w:t>
      </w:r>
      <w:r w:rsidRPr="00630BDF">
        <w:rPr>
          <w:rFonts w:ascii="Work Sans" w:hAnsi="Work Sans"/>
        </w:rPr>
        <w:t>, issue</w:t>
      </w:r>
      <w:r w:rsidR="007B79FC">
        <w:rPr>
          <w:rFonts w:ascii="Work Sans" w:hAnsi="Work Sans"/>
        </w:rPr>
        <w:t xml:space="preserve"> 4</w:t>
      </w:r>
    </w:p>
    <w:p w14:paraId="62654256" w14:textId="1C925D63" w:rsidR="002E5059" w:rsidRPr="00630BDF" w:rsidRDefault="007B79FC" w:rsidP="002E5059">
      <w:pPr>
        <w:pStyle w:val="NoSpacing"/>
        <w:rPr>
          <w:rFonts w:ascii="Work Sans" w:hAnsi="Work Sans"/>
          <w:b/>
          <w:bCs/>
          <w:sz w:val="2"/>
          <w:szCs w:val="2"/>
        </w:rPr>
      </w:pPr>
      <w:hyperlink r:id="rId11" w:history="1">
        <w:r w:rsidRPr="003E3E02">
          <w:rPr>
            <w:rStyle w:val="Hyperlink"/>
            <w:rFonts w:ascii="Work Sans" w:eastAsia="Times New Roman" w:hAnsi="Work Sans"/>
            <w:sz w:val="24"/>
            <w:szCs w:val="24"/>
            <w:lang w:eastAsia="en-GB"/>
          </w:rPr>
          <w:t>https://www.the-ies.org/resources/fields-change</w:t>
        </w:r>
      </w:hyperlink>
    </w:p>
    <w:tbl>
      <w:tblPr>
        <w:tblStyle w:val="TableGrid"/>
        <w:tblW w:w="9498" w:type="dxa"/>
        <w:tblInd w:w="-5" w:type="dxa"/>
        <w:tblLook w:val="04A0" w:firstRow="1" w:lastRow="0" w:firstColumn="1" w:lastColumn="0" w:noHBand="0" w:noVBand="1"/>
      </w:tblPr>
      <w:tblGrid>
        <w:gridCol w:w="1985"/>
        <w:gridCol w:w="7513"/>
      </w:tblGrid>
      <w:tr w:rsidR="002E5059" w:rsidRPr="00630BDF" w14:paraId="41D35787" w14:textId="77777777" w:rsidTr="502DBA26">
        <w:trPr>
          <w:trHeight w:val="2162"/>
        </w:trPr>
        <w:tc>
          <w:tcPr>
            <w:tcW w:w="1985" w:type="dxa"/>
            <w:shd w:val="clear" w:color="auto" w:fill="D9D9D9" w:themeFill="background1" w:themeFillShade="D9"/>
            <w:vAlign w:val="center"/>
          </w:tcPr>
          <w:p w14:paraId="61AEDABF" w14:textId="77777777" w:rsidR="002E5059" w:rsidRPr="00630BDF" w:rsidRDefault="002E5059" w:rsidP="00D96360">
            <w:pPr>
              <w:rPr>
                <w:rFonts w:ascii="Work Sans" w:hAnsi="Work Sans"/>
                <w:b/>
                <w:bCs/>
              </w:rPr>
            </w:pPr>
            <w:r w:rsidRPr="00630BDF">
              <w:rPr>
                <w:rFonts w:ascii="Work Sans" w:hAnsi="Work Sans"/>
                <w:b/>
                <w:bCs/>
              </w:rPr>
              <w:lastRenderedPageBreak/>
              <w:t xml:space="preserve">Topic overview </w:t>
            </w:r>
          </w:p>
        </w:tc>
        <w:tc>
          <w:tcPr>
            <w:tcW w:w="7513" w:type="dxa"/>
            <w:vAlign w:val="center"/>
          </w:tcPr>
          <w:p w14:paraId="39FAE740" w14:textId="380BB24F" w:rsidR="00610C75" w:rsidRPr="00610C75" w:rsidRDefault="00610C75" w:rsidP="00610C75">
            <w:pPr>
              <w:pStyle w:val="NormalWeb"/>
              <w:shd w:val="clear" w:color="auto" w:fill="FFFFFF" w:themeFill="background1"/>
              <w:spacing w:before="120" w:after="240"/>
              <w:rPr>
                <w:rFonts w:ascii="Work Sans" w:hAnsi="Work Sans"/>
                <w:color w:val="000000" w:themeColor="text1"/>
                <w:sz w:val="20"/>
                <w:szCs w:val="20"/>
              </w:rPr>
            </w:pPr>
            <w:r w:rsidRPr="00610C75">
              <w:rPr>
                <w:rFonts w:ascii="Work Sans" w:hAnsi="Work Sans"/>
                <w:color w:val="000000" w:themeColor="text1"/>
                <w:sz w:val="20"/>
                <w:szCs w:val="20"/>
              </w:rPr>
              <w:t xml:space="preserve">This </w:t>
            </w:r>
            <w:r>
              <w:rPr>
                <w:rFonts w:ascii="Work Sans" w:hAnsi="Work Sans"/>
                <w:color w:val="000000" w:themeColor="text1"/>
                <w:sz w:val="20"/>
                <w:szCs w:val="20"/>
              </w:rPr>
              <w:t xml:space="preserve">timely </w:t>
            </w:r>
            <w:r w:rsidRPr="00610C75">
              <w:rPr>
                <w:rFonts w:ascii="Work Sans" w:hAnsi="Work Sans"/>
                <w:color w:val="000000" w:themeColor="text1"/>
                <w:sz w:val="20"/>
                <w:szCs w:val="20"/>
              </w:rPr>
              <w:t xml:space="preserve">edition </w:t>
            </w:r>
            <w:r>
              <w:rPr>
                <w:rFonts w:ascii="Work Sans" w:hAnsi="Work Sans"/>
                <w:color w:val="000000" w:themeColor="text1"/>
                <w:sz w:val="20"/>
                <w:szCs w:val="20"/>
              </w:rPr>
              <w:t xml:space="preserve">of environmental SCIENTIST </w:t>
            </w:r>
            <w:r w:rsidRPr="00610C75">
              <w:rPr>
                <w:rFonts w:ascii="Work Sans" w:hAnsi="Work Sans"/>
                <w:color w:val="000000" w:themeColor="text1"/>
                <w:sz w:val="20"/>
                <w:szCs w:val="20"/>
              </w:rPr>
              <w:t>considers the interlinked, complex, crucial systems of agriculture and food production. It examines the potential for resilience, innovation, and transformation of our agricultural and food practices and systems, in the context of mounting pressures such as extreme weather, changing crop pathologies, an increasing global population, and pollinator decline.</w:t>
            </w:r>
          </w:p>
          <w:p w14:paraId="61B019BA" w14:textId="25A0D9DF" w:rsidR="00610C75" w:rsidRPr="00610C75" w:rsidRDefault="00610C75" w:rsidP="00610C75">
            <w:pPr>
              <w:pStyle w:val="NormalWeb"/>
              <w:shd w:val="clear" w:color="auto" w:fill="FFFFFF" w:themeFill="background1"/>
              <w:spacing w:before="120" w:after="240"/>
              <w:rPr>
                <w:rFonts w:ascii="Work Sans" w:hAnsi="Work Sans"/>
                <w:color w:val="000000" w:themeColor="text1"/>
                <w:sz w:val="20"/>
                <w:szCs w:val="20"/>
              </w:rPr>
            </w:pPr>
            <w:r w:rsidRPr="00610C75">
              <w:rPr>
                <w:rFonts w:ascii="Work Sans" w:hAnsi="Work Sans"/>
                <w:color w:val="000000" w:themeColor="text1"/>
                <w:sz w:val="20"/>
                <w:szCs w:val="20"/>
              </w:rPr>
              <w:t xml:space="preserve">Systems approaches to emerging challenges in our environment are becoming ever more vital, and therefore this journal takes a multi-disciplinary approach in investigating how agriculture is responding to challenges like green energy and water use, pesticides and weed control, and crop adaptation to changing climates. </w:t>
            </w:r>
          </w:p>
          <w:p w14:paraId="11C4B152" w14:textId="3BD7D022" w:rsidR="00545646" w:rsidRPr="00630BDF" w:rsidRDefault="00610C75" w:rsidP="00610C75">
            <w:pPr>
              <w:pStyle w:val="NormalWeb"/>
              <w:shd w:val="clear" w:color="auto" w:fill="FFFFFF"/>
              <w:spacing w:before="120" w:beforeAutospacing="0" w:after="240" w:afterAutospacing="0"/>
              <w:rPr>
                <w:rFonts w:ascii="Work Sans" w:hAnsi="Work Sans"/>
                <w:color w:val="000000"/>
                <w:sz w:val="20"/>
                <w:szCs w:val="20"/>
              </w:rPr>
            </w:pPr>
            <w:r w:rsidRPr="00610C75">
              <w:rPr>
                <w:rFonts w:ascii="Work Sans" w:hAnsi="Work Sans"/>
                <w:color w:val="000000" w:themeColor="text1"/>
                <w:sz w:val="20"/>
                <w:szCs w:val="20"/>
              </w:rPr>
              <w:t>Through articles in this issue, authors respond to questions over how policy, technology, and behavioural change can shape the future of farming and our food systems, and whether we can adapt our practices in time to achieve a sustainable relationship with farming and food production.</w:t>
            </w:r>
          </w:p>
        </w:tc>
      </w:tr>
      <w:tr w:rsidR="002E5059" w:rsidRPr="00630BDF" w14:paraId="7DF946E9" w14:textId="77777777" w:rsidTr="502DBA26">
        <w:trPr>
          <w:trHeight w:val="289"/>
        </w:trPr>
        <w:tc>
          <w:tcPr>
            <w:tcW w:w="9498" w:type="dxa"/>
            <w:gridSpan w:val="2"/>
            <w:shd w:val="clear" w:color="auto" w:fill="D9D9D9" w:themeFill="background1" w:themeFillShade="D9"/>
          </w:tcPr>
          <w:p w14:paraId="63D1AD7C" w14:textId="77777777" w:rsidR="002E5059" w:rsidRPr="00630BDF" w:rsidRDefault="002E5059" w:rsidP="00D96360">
            <w:pPr>
              <w:pStyle w:val="NoSpacing"/>
              <w:jc w:val="center"/>
              <w:rPr>
                <w:rFonts w:ascii="Work Sans" w:hAnsi="Work Sans"/>
                <w:b/>
                <w:bCs/>
              </w:rPr>
            </w:pPr>
            <w:r w:rsidRPr="00630BDF">
              <w:rPr>
                <w:rFonts w:ascii="Work Sans" w:hAnsi="Work Sans"/>
                <w:b/>
                <w:bCs/>
              </w:rPr>
              <w:t>Articles in focus</w:t>
            </w:r>
          </w:p>
        </w:tc>
      </w:tr>
      <w:tr w:rsidR="002E5059" w:rsidRPr="00630BDF" w14:paraId="63532093" w14:textId="77777777" w:rsidTr="502DBA26">
        <w:trPr>
          <w:trHeight w:val="965"/>
        </w:trPr>
        <w:tc>
          <w:tcPr>
            <w:tcW w:w="1985" w:type="dxa"/>
            <w:vMerge w:val="restart"/>
            <w:shd w:val="clear" w:color="auto" w:fill="D9D9D9" w:themeFill="background1" w:themeFillShade="D9"/>
            <w:vAlign w:val="center"/>
          </w:tcPr>
          <w:p w14:paraId="2859A532" w14:textId="77777777" w:rsidR="00A2629E" w:rsidRPr="00A2629E" w:rsidRDefault="008107A6" w:rsidP="00A2629E">
            <w:pPr>
              <w:rPr>
                <w:rFonts w:ascii="Work Sans" w:hAnsi="Work Sans"/>
                <w:b/>
                <w:bCs/>
              </w:rPr>
            </w:pPr>
            <w:r w:rsidRPr="00630BDF">
              <w:rPr>
                <w:rFonts w:ascii="Work Sans" w:hAnsi="Work Sans"/>
                <w:b/>
                <w:bCs/>
              </w:rPr>
              <w:t>‘</w:t>
            </w:r>
            <w:r w:rsidR="00A2629E" w:rsidRPr="00A2629E">
              <w:rPr>
                <w:rFonts w:ascii="Work Sans" w:hAnsi="Work Sans"/>
                <w:b/>
                <w:bCs/>
              </w:rPr>
              <w:t>The role of digital technology in delivering</w:t>
            </w:r>
          </w:p>
          <w:p w14:paraId="5F2242D1" w14:textId="4C5490B3" w:rsidR="002E5059" w:rsidRPr="00630BDF" w:rsidRDefault="00A2629E" w:rsidP="00A2629E">
            <w:pPr>
              <w:rPr>
                <w:rFonts w:ascii="Work Sans" w:hAnsi="Work Sans"/>
                <w:b/>
                <w:bCs/>
              </w:rPr>
            </w:pPr>
            <w:r w:rsidRPr="00A2629E">
              <w:rPr>
                <w:rFonts w:ascii="Work Sans" w:hAnsi="Work Sans"/>
                <w:b/>
                <w:bCs/>
              </w:rPr>
              <w:t>agricultural sustainability</w:t>
            </w:r>
            <w:r>
              <w:rPr>
                <w:rFonts w:ascii="Work Sans" w:hAnsi="Work Sans"/>
                <w:b/>
                <w:bCs/>
              </w:rPr>
              <w:t>’</w:t>
            </w:r>
          </w:p>
          <w:p w14:paraId="406A349A" w14:textId="77777777" w:rsidR="002E5059" w:rsidRPr="00630BDF" w:rsidRDefault="002E5059" w:rsidP="00D96360">
            <w:pPr>
              <w:rPr>
                <w:rFonts w:ascii="Work Sans" w:hAnsi="Work Sans"/>
                <w:b/>
                <w:bCs/>
              </w:rPr>
            </w:pPr>
          </w:p>
          <w:p w14:paraId="4570C845" w14:textId="015FBE39" w:rsidR="002E5059" w:rsidRPr="00630BDF" w:rsidRDefault="008107A6" w:rsidP="00D96360">
            <w:pPr>
              <w:rPr>
                <w:rFonts w:ascii="Work Sans" w:hAnsi="Work Sans"/>
                <w:b/>
                <w:bCs/>
              </w:rPr>
            </w:pPr>
            <w:r w:rsidRPr="00630BDF">
              <w:rPr>
                <w:rFonts w:ascii="Work Sans" w:hAnsi="Work Sans"/>
                <w:b/>
                <w:bCs/>
              </w:rPr>
              <w:t>(</w:t>
            </w:r>
            <w:r w:rsidR="00A2629E">
              <w:rPr>
                <w:rFonts w:ascii="Work Sans" w:hAnsi="Work Sans"/>
                <w:b/>
                <w:bCs/>
              </w:rPr>
              <w:t>Kit Franklin</w:t>
            </w:r>
            <w:r w:rsidR="00AD3FF5">
              <w:rPr>
                <w:rFonts w:ascii="Work Sans" w:hAnsi="Work Sans"/>
                <w:b/>
                <w:bCs/>
              </w:rPr>
              <w:t>, p. 2</w:t>
            </w:r>
            <w:r w:rsidR="00A2629E">
              <w:rPr>
                <w:rFonts w:ascii="Work Sans" w:hAnsi="Work Sans"/>
                <w:b/>
                <w:bCs/>
              </w:rPr>
              <w:t>2</w:t>
            </w:r>
            <w:r w:rsidR="002E5059" w:rsidRPr="00630BDF">
              <w:rPr>
                <w:rFonts w:ascii="Work Sans" w:hAnsi="Work Sans"/>
                <w:b/>
                <w:bCs/>
              </w:rPr>
              <w:t>)</w:t>
            </w:r>
          </w:p>
        </w:tc>
        <w:tc>
          <w:tcPr>
            <w:tcW w:w="7513" w:type="dxa"/>
            <w:shd w:val="clear" w:color="auto" w:fill="E7E6E6" w:themeFill="background2"/>
            <w:vAlign w:val="center"/>
          </w:tcPr>
          <w:p w14:paraId="12BFCE1E" w14:textId="4F76EB5A" w:rsidR="002E5059" w:rsidRPr="00630BDF" w:rsidRDefault="002E5059" w:rsidP="00A75196">
            <w:pPr>
              <w:pStyle w:val="NoSpacing"/>
              <w:rPr>
                <w:rFonts w:ascii="Work Sans" w:hAnsi="Work Sans"/>
              </w:rPr>
            </w:pPr>
            <w:r w:rsidRPr="00630BDF">
              <w:rPr>
                <w:rFonts w:ascii="Work Sans" w:hAnsi="Work Sans"/>
                <w:b/>
                <w:bCs/>
              </w:rPr>
              <w:t>Article overview:</w:t>
            </w:r>
            <w:r w:rsidRPr="00630BDF">
              <w:rPr>
                <w:rFonts w:ascii="Work Sans" w:hAnsi="Work Sans"/>
              </w:rPr>
              <w:t xml:space="preserve"> </w:t>
            </w:r>
            <w:r w:rsidR="00AD3FF5">
              <w:rPr>
                <w:rFonts w:ascii="Work Sans" w:hAnsi="Work Sans"/>
              </w:rPr>
              <w:t xml:space="preserve">This article </w:t>
            </w:r>
            <w:r w:rsidR="00153E28">
              <w:rPr>
                <w:rFonts w:ascii="Work Sans" w:hAnsi="Work Sans"/>
              </w:rPr>
              <w:t xml:space="preserve">explores </w:t>
            </w:r>
            <w:r w:rsidR="00A75196" w:rsidRPr="00A75196">
              <w:rPr>
                <w:rFonts w:ascii="Work Sans" w:hAnsi="Work Sans"/>
              </w:rPr>
              <w:t>how technology can enable a</w:t>
            </w:r>
            <w:r w:rsidR="00A75196">
              <w:rPr>
                <w:rFonts w:ascii="Work Sans" w:hAnsi="Work Sans"/>
              </w:rPr>
              <w:t xml:space="preserve"> </w:t>
            </w:r>
            <w:r w:rsidR="00A75196" w:rsidRPr="00A75196">
              <w:rPr>
                <w:rFonts w:ascii="Work Sans" w:hAnsi="Work Sans"/>
              </w:rPr>
              <w:t>better farming future</w:t>
            </w:r>
            <w:r w:rsidR="00A75196">
              <w:rPr>
                <w:rFonts w:ascii="Work Sans" w:hAnsi="Work Sans"/>
              </w:rPr>
              <w:t>, through the use of new tools, robotics, and monitoring technologies</w:t>
            </w:r>
            <w:r w:rsidR="00AA491C">
              <w:rPr>
                <w:rFonts w:ascii="Work Sans" w:hAnsi="Work Sans"/>
              </w:rPr>
              <w:t>.</w:t>
            </w:r>
          </w:p>
        </w:tc>
      </w:tr>
      <w:tr w:rsidR="002E5059" w:rsidRPr="00630BDF" w14:paraId="35A7A0A9" w14:textId="77777777" w:rsidTr="502DBA26">
        <w:trPr>
          <w:trHeight w:val="2539"/>
        </w:trPr>
        <w:tc>
          <w:tcPr>
            <w:tcW w:w="1985" w:type="dxa"/>
            <w:vMerge/>
          </w:tcPr>
          <w:p w14:paraId="071592C7" w14:textId="77777777" w:rsidR="002E5059" w:rsidRPr="00630BDF" w:rsidRDefault="002E5059" w:rsidP="00D96360">
            <w:pPr>
              <w:rPr>
                <w:rFonts w:ascii="Work Sans" w:hAnsi="Work Sans"/>
                <w:b/>
                <w:bCs/>
              </w:rPr>
            </w:pPr>
          </w:p>
        </w:tc>
        <w:tc>
          <w:tcPr>
            <w:tcW w:w="7513" w:type="dxa"/>
            <w:vAlign w:val="center"/>
          </w:tcPr>
          <w:p w14:paraId="7EDB8AD2" w14:textId="64A6EC77" w:rsidR="007F500D" w:rsidRDefault="00E0189C" w:rsidP="00D96360">
            <w:pPr>
              <w:pStyle w:val="ListParagraph"/>
              <w:numPr>
                <w:ilvl w:val="0"/>
                <w:numId w:val="2"/>
              </w:numPr>
              <w:spacing w:after="160"/>
              <w:rPr>
                <w:rFonts w:ascii="Work Sans" w:hAnsi="Work Sans"/>
              </w:rPr>
            </w:pPr>
            <w:r>
              <w:rPr>
                <w:rFonts w:ascii="Work Sans" w:hAnsi="Work Sans"/>
              </w:rPr>
              <w:t xml:space="preserve">Identify </w:t>
            </w:r>
            <w:r w:rsidR="00446DC5">
              <w:rPr>
                <w:rFonts w:ascii="Work Sans" w:hAnsi="Work Sans"/>
              </w:rPr>
              <w:t>2</w:t>
            </w:r>
            <w:r w:rsidR="00076B18">
              <w:rPr>
                <w:rFonts w:ascii="Work Sans" w:hAnsi="Work Sans"/>
              </w:rPr>
              <w:t xml:space="preserve"> key characteristics of a precision farming approach as outlined by the author.</w:t>
            </w:r>
          </w:p>
          <w:p w14:paraId="1F4ABB53" w14:textId="77777777" w:rsidR="00076B18" w:rsidRDefault="003D6A42" w:rsidP="00D96360">
            <w:pPr>
              <w:pStyle w:val="ListParagraph"/>
              <w:numPr>
                <w:ilvl w:val="0"/>
                <w:numId w:val="2"/>
              </w:numPr>
              <w:spacing w:after="160"/>
              <w:rPr>
                <w:rFonts w:ascii="Work Sans" w:hAnsi="Work Sans"/>
              </w:rPr>
            </w:pPr>
            <w:r>
              <w:rPr>
                <w:rFonts w:ascii="Work Sans" w:hAnsi="Work Sans"/>
              </w:rPr>
              <w:t>Discuss the advantages of using UAVs (drones) over satellites for aerial monitoring of c</w:t>
            </w:r>
            <w:r w:rsidR="00651007">
              <w:rPr>
                <w:rFonts w:ascii="Work Sans" w:hAnsi="Work Sans"/>
              </w:rPr>
              <w:t>rops.</w:t>
            </w:r>
          </w:p>
          <w:p w14:paraId="386C8142" w14:textId="4EBFE309" w:rsidR="00651007" w:rsidRPr="00630BDF" w:rsidRDefault="006A0FA4" w:rsidP="00D96360">
            <w:pPr>
              <w:pStyle w:val="ListParagraph"/>
              <w:numPr>
                <w:ilvl w:val="0"/>
                <w:numId w:val="2"/>
              </w:numPr>
              <w:spacing w:after="160"/>
              <w:rPr>
                <w:rFonts w:ascii="Work Sans" w:hAnsi="Work Sans"/>
              </w:rPr>
            </w:pPr>
            <w:r>
              <w:rPr>
                <w:rFonts w:ascii="Work Sans" w:hAnsi="Work Sans"/>
              </w:rPr>
              <w:t>Analyse the possible environmental benefits of the use of autonomous technologies in agriculture.</w:t>
            </w:r>
          </w:p>
        </w:tc>
      </w:tr>
      <w:tr w:rsidR="002E5059" w:rsidRPr="00630BDF" w14:paraId="67B49115" w14:textId="77777777" w:rsidTr="502DBA26">
        <w:trPr>
          <w:trHeight w:val="987"/>
        </w:trPr>
        <w:tc>
          <w:tcPr>
            <w:tcW w:w="1985" w:type="dxa"/>
            <w:vMerge w:val="restart"/>
            <w:shd w:val="clear" w:color="auto" w:fill="D9D9D9" w:themeFill="background1" w:themeFillShade="D9"/>
            <w:vAlign w:val="center"/>
          </w:tcPr>
          <w:p w14:paraId="641CAB71" w14:textId="700312BD" w:rsidR="002E5059" w:rsidRDefault="0011715C" w:rsidP="00795675">
            <w:pPr>
              <w:rPr>
                <w:rFonts w:ascii="Work Sans" w:hAnsi="Work Sans"/>
                <w:b/>
                <w:bCs/>
              </w:rPr>
            </w:pPr>
            <w:r w:rsidRPr="00630BDF">
              <w:rPr>
                <w:rFonts w:ascii="Work Sans" w:hAnsi="Work Sans"/>
                <w:b/>
                <w:bCs/>
              </w:rPr>
              <w:t>‘</w:t>
            </w:r>
            <w:r w:rsidR="003D6112" w:rsidRPr="003D6112">
              <w:rPr>
                <w:rFonts w:ascii="Work Sans" w:hAnsi="Work Sans"/>
                <w:b/>
                <w:bCs/>
              </w:rPr>
              <w:t>Developing climate-resilient vegetable varieties</w:t>
            </w:r>
            <w:r w:rsidR="003D6112">
              <w:rPr>
                <w:rFonts w:ascii="Work Sans" w:hAnsi="Work Sans"/>
                <w:b/>
                <w:bCs/>
              </w:rPr>
              <w:t>’</w:t>
            </w:r>
          </w:p>
          <w:p w14:paraId="60C01204" w14:textId="77777777" w:rsidR="009427B7" w:rsidRPr="00630BDF" w:rsidRDefault="009427B7" w:rsidP="00795675">
            <w:pPr>
              <w:rPr>
                <w:rFonts w:ascii="Work Sans" w:hAnsi="Work Sans"/>
                <w:b/>
                <w:bCs/>
              </w:rPr>
            </w:pPr>
          </w:p>
          <w:p w14:paraId="4A6EE3CE" w14:textId="77777777" w:rsidR="009427B7" w:rsidRPr="009427B7" w:rsidRDefault="005A560B" w:rsidP="009427B7">
            <w:pPr>
              <w:rPr>
                <w:rFonts w:ascii="Work Sans" w:hAnsi="Work Sans"/>
                <w:b/>
                <w:bCs/>
              </w:rPr>
            </w:pPr>
            <w:r w:rsidRPr="00630BDF">
              <w:rPr>
                <w:rFonts w:ascii="Work Sans" w:hAnsi="Work Sans"/>
                <w:b/>
                <w:bCs/>
              </w:rPr>
              <w:t>(</w:t>
            </w:r>
            <w:r w:rsidR="009427B7" w:rsidRPr="009427B7">
              <w:rPr>
                <w:rFonts w:ascii="Work Sans" w:hAnsi="Work Sans"/>
                <w:b/>
                <w:bCs/>
              </w:rPr>
              <w:t>Ashley Garrison, Lauren Chappell, Rosemary Collier,</w:t>
            </w:r>
          </w:p>
          <w:p w14:paraId="3AE9F993" w14:textId="65198C0F" w:rsidR="002E5059" w:rsidRPr="00630BDF" w:rsidRDefault="009427B7" w:rsidP="009427B7">
            <w:pPr>
              <w:rPr>
                <w:rFonts w:ascii="Work Sans" w:hAnsi="Work Sans"/>
                <w:b/>
                <w:bCs/>
              </w:rPr>
            </w:pPr>
            <w:r w:rsidRPr="009427B7">
              <w:rPr>
                <w:rFonts w:ascii="Work Sans" w:hAnsi="Work Sans"/>
                <w:b/>
                <w:bCs/>
              </w:rPr>
              <w:t>Andrew Beacham and Jim Monaghan</w:t>
            </w:r>
            <w:r>
              <w:rPr>
                <w:rFonts w:ascii="Work Sans" w:hAnsi="Work Sans"/>
                <w:b/>
                <w:bCs/>
              </w:rPr>
              <w:t>,</w:t>
            </w:r>
            <w:r w:rsidR="00725D60">
              <w:rPr>
                <w:rFonts w:ascii="Work Sans" w:hAnsi="Work Sans"/>
                <w:b/>
                <w:bCs/>
              </w:rPr>
              <w:t xml:space="preserve"> p. </w:t>
            </w:r>
            <w:r>
              <w:rPr>
                <w:rFonts w:ascii="Work Sans" w:hAnsi="Work Sans"/>
                <w:b/>
                <w:bCs/>
              </w:rPr>
              <w:t>36</w:t>
            </w:r>
            <w:r w:rsidR="005A560B" w:rsidRPr="00630BDF">
              <w:rPr>
                <w:rFonts w:ascii="Work Sans" w:hAnsi="Work Sans"/>
                <w:b/>
                <w:bCs/>
              </w:rPr>
              <w:t>)</w:t>
            </w:r>
          </w:p>
        </w:tc>
        <w:tc>
          <w:tcPr>
            <w:tcW w:w="7513" w:type="dxa"/>
            <w:shd w:val="clear" w:color="auto" w:fill="E7E6E6" w:themeFill="background2"/>
            <w:vAlign w:val="center"/>
          </w:tcPr>
          <w:p w14:paraId="3D1848FB" w14:textId="638A312A" w:rsidR="002E5059" w:rsidRPr="00630BDF" w:rsidRDefault="002E5059" w:rsidP="00D96360">
            <w:pPr>
              <w:pStyle w:val="NoSpacing"/>
              <w:rPr>
                <w:rFonts w:ascii="Work Sans" w:hAnsi="Work Sans"/>
              </w:rPr>
            </w:pPr>
            <w:r w:rsidRPr="00630BDF">
              <w:rPr>
                <w:rFonts w:ascii="Work Sans" w:hAnsi="Work Sans"/>
                <w:b/>
                <w:bCs/>
              </w:rPr>
              <w:t>Article overview:</w:t>
            </w:r>
            <w:r w:rsidRPr="00630BDF">
              <w:rPr>
                <w:rFonts w:ascii="Work Sans" w:hAnsi="Work Sans"/>
              </w:rPr>
              <w:t xml:space="preserve"> </w:t>
            </w:r>
            <w:r w:rsidR="00725D60">
              <w:rPr>
                <w:rFonts w:ascii="Work Sans" w:hAnsi="Work Sans"/>
              </w:rPr>
              <w:t xml:space="preserve">This article </w:t>
            </w:r>
            <w:r w:rsidR="009427B7">
              <w:rPr>
                <w:rFonts w:ascii="Work Sans" w:hAnsi="Work Sans"/>
              </w:rPr>
              <w:t xml:space="preserve">discusses the VEGIN Network, and </w:t>
            </w:r>
            <w:r w:rsidR="0042033A">
              <w:rPr>
                <w:rFonts w:ascii="Work Sans" w:hAnsi="Work Sans"/>
              </w:rPr>
              <w:t>the headway it is making in developing resistant crop varieties for resilience against climate change, heat, and flooding.</w:t>
            </w:r>
          </w:p>
        </w:tc>
      </w:tr>
      <w:tr w:rsidR="002E5059" w:rsidRPr="00630BDF" w14:paraId="76B6D917" w14:textId="77777777" w:rsidTr="502DBA26">
        <w:trPr>
          <w:trHeight w:val="2542"/>
        </w:trPr>
        <w:tc>
          <w:tcPr>
            <w:tcW w:w="1985" w:type="dxa"/>
            <w:vMerge/>
          </w:tcPr>
          <w:p w14:paraId="152ED2E9" w14:textId="77777777" w:rsidR="002E5059" w:rsidRPr="00630BDF" w:rsidRDefault="002E5059" w:rsidP="00D96360">
            <w:pPr>
              <w:rPr>
                <w:rFonts w:ascii="Work Sans" w:hAnsi="Work Sans"/>
                <w:b/>
                <w:bCs/>
              </w:rPr>
            </w:pPr>
          </w:p>
        </w:tc>
        <w:tc>
          <w:tcPr>
            <w:tcW w:w="7513" w:type="dxa"/>
            <w:vAlign w:val="center"/>
          </w:tcPr>
          <w:p w14:paraId="4E3BE63A" w14:textId="6C725E1B" w:rsidR="00537F9E" w:rsidRDefault="005C4A45" w:rsidP="00585947">
            <w:pPr>
              <w:pStyle w:val="ListParagraph"/>
              <w:numPr>
                <w:ilvl w:val="0"/>
                <w:numId w:val="4"/>
              </w:numPr>
              <w:rPr>
                <w:rFonts w:ascii="Work Sans" w:hAnsi="Work Sans"/>
              </w:rPr>
            </w:pPr>
            <w:r>
              <w:rPr>
                <w:rFonts w:ascii="Work Sans" w:hAnsi="Work Sans"/>
              </w:rPr>
              <w:t xml:space="preserve">Describe the </w:t>
            </w:r>
            <w:r w:rsidR="00DA26DE">
              <w:rPr>
                <w:rFonts w:ascii="Work Sans" w:hAnsi="Work Sans"/>
              </w:rPr>
              <w:t>“pre-breeding” process that helps determine stress-resilient traits within crop varieties.</w:t>
            </w:r>
          </w:p>
          <w:p w14:paraId="22F9E581" w14:textId="2F76B821" w:rsidR="00FF5DB0" w:rsidRDefault="001A0B27" w:rsidP="00585947">
            <w:pPr>
              <w:pStyle w:val="ListParagraph"/>
              <w:numPr>
                <w:ilvl w:val="0"/>
                <w:numId w:val="4"/>
              </w:numPr>
              <w:rPr>
                <w:rFonts w:ascii="Work Sans" w:hAnsi="Work Sans"/>
              </w:rPr>
            </w:pPr>
            <w:r>
              <w:rPr>
                <w:rFonts w:ascii="Work Sans" w:hAnsi="Work Sans"/>
              </w:rPr>
              <w:t>What adaptations</w:t>
            </w:r>
            <w:r w:rsidR="009B70C1">
              <w:rPr>
                <w:rFonts w:ascii="Work Sans" w:hAnsi="Work Sans"/>
              </w:rPr>
              <w:t xml:space="preserve"> do ancestral crop varieties offe</w:t>
            </w:r>
            <w:r>
              <w:rPr>
                <w:rFonts w:ascii="Work Sans" w:hAnsi="Work Sans"/>
              </w:rPr>
              <w:t>r, in contrast to commercial varieties, that might make them more resilient to climate change conditions in the UK?</w:t>
            </w:r>
          </w:p>
          <w:p w14:paraId="06B8B2FA" w14:textId="2748D88E" w:rsidR="003444B1" w:rsidRPr="00630BDF" w:rsidRDefault="009A1920" w:rsidP="00585947">
            <w:pPr>
              <w:pStyle w:val="ListParagraph"/>
              <w:numPr>
                <w:ilvl w:val="0"/>
                <w:numId w:val="4"/>
              </w:numPr>
              <w:rPr>
                <w:rFonts w:ascii="Work Sans" w:hAnsi="Work Sans"/>
              </w:rPr>
            </w:pPr>
            <w:r>
              <w:rPr>
                <w:rFonts w:ascii="Work Sans" w:hAnsi="Work Sans"/>
              </w:rPr>
              <w:t>Explain the difference between abiotic and biotic stress conditions, and give an example of each.</w:t>
            </w:r>
          </w:p>
        </w:tc>
      </w:tr>
      <w:tr w:rsidR="002E5059" w:rsidRPr="00630BDF" w14:paraId="405D6986" w14:textId="77777777" w:rsidTr="502DBA26">
        <w:trPr>
          <w:trHeight w:val="983"/>
        </w:trPr>
        <w:tc>
          <w:tcPr>
            <w:tcW w:w="1985" w:type="dxa"/>
            <w:vMerge w:val="restart"/>
            <w:shd w:val="clear" w:color="auto" w:fill="D9D9D9" w:themeFill="background1" w:themeFillShade="D9"/>
          </w:tcPr>
          <w:p w14:paraId="1A91A4F0" w14:textId="77777777" w:rsidR="004724B3" w:rsidRDefault="0011715C" w:rsidP="00D96360">
            <w:pPr>
              <w:rPr>
                <w:rFonts w:ascii="Work Sans" w:hAnsi="Work Sans"/>
                <w:b/>
                <w:bCs/>
              </w:rPr>
            </w:pPr>
            <w:r w:rsidRPr="00630BDF">
              <w:rPr>
                <w:rFonts w:ascii="Work Sans" w:hAnsi="Work Sans"/>
                <w:b/>
                <w:bCs/>
              </w:rPr>
              <w:t>‘</w:t>
            </w:r>
            <w:r w:rsidR="004724B3">
              <w:rPr>
                <w:rFonts w:ascii="Work Sans" w:hAnsi="Work Sans"/>
                <w:b/>
                <w:bCs/>
              </w:rPr>
              <w:t xml:space="preserve">Farming at the sweet spot for </w:t>
            </w:r>
            <w:r w:rsidR="004724B3">
              <w:rPr>
                <w:rFonts w:ascii="Work Sans" w:hAnsi="Work Sans"/>
                <w:b/>
                <w:bCs/>
              </w:rPr>
              <w:lastRenderedPageBreak/>
              <w:t>nature and food’</w:t>
            </w:r>
          </w:p>
          <w:p w14:paraId="72869C8D" w14:textId="77777777" w:rsidR="004724B3" w:rsidRDefault="004724B3" w:rsidP="00D96360">
            <w:pPr>
              <w:rPr>
                <w:rFonts w:ascii="Work Sans" w:hAnsi="Work Sans"/>
                <w:b/>
                <w:bCs/>
              </w:rPr>
            </w:pPr>
          </w:p>
          <w:p w14:paraId="5B588DCD" w14:textId="5AC5DD54" w:rsidR="002E5059" w:rsidRPr="00630BDF" w:rsidRDefault="0011715C" w:rsidP="00D96360">
            <w:pPr>
              <w:rPr>
                <w:rFonts w:ascii="Work Sans" w:hAnsi="Work Sans"/>
                <w:b/>
                <w:bCs/>
              </w:rPr>
            </w:pPr>
            <w:r w:rsidRPr="00630BDF">
              <w:rPr>
                <w:rFonts w:ascii="Work Sans" w:hAnsi="Work Sans"/>
                <w:b/>
                <w:bCs/>
              </w:rPr>
              <w:t>(</w:t>
            </w:r>
            <w:r w:rsidR="004724B3">
              <w:rPr>
                <w:rFonts w:ascii="Work Sans" w:hAnsi="Work Sans"/>
                <w:b/>
                <w:bCs/>
              </w:rPr>
              <w:t>Vicki Hird</w:t>
            </w:r>
            <w:r w:rsidR="00B47609">
              <w:rPr>
                <w:rFonts w:ascii="Work Sans" w:hAnsi="Work Sans"/>
                <w:b/>
                <w:bCs/>
              </w:rPr>
              <w:t xml:space="preserve">, p. </w:t>
            </w:r>
            <w:r w:rsidR="00B4006E">
              <w:rPr>
                <w:rFonts w:ascii="Work Sans" w:hAnsi="Work Sans"/>
                <w:b/>
                <w:bCs/>
              </w:rPr>
              <w:t>56</w:t>
            </w:r>
            <w:r w:rsidRPr="00630BDF">
              <w:rPr>
                <w:rFonts w:ascii="Work Sans" w:hAnsi="Work Sans"/>
                <w:b/>
                <w:bCs/>
              </w:rPr>
              <w:t>)</w:t>
            </w:r>
          </w:p>
        </w:tc>
        <w:tc>
          <w:tcPr>
            <w:tcW w:w="7513" w:type="dxa"/>
            <w:shd w:val="clear" w:color="auto" w:fill="E7E6E6" w:themeFill="background2"/>
            <w:vAlign w:val="center"/>
          </w:tcPr>
          <w:p w14:paraId="6F44E04A" w14:textId="5D243857" w:rsidR="002E5059" w:rsidRPr="00630BDF" w:rsidRDefault="002E5059" w:rsidP="00D96360">
            <w:pPr>
              <w:pStyle w:val="NoSpacing"/>
              <w:rPr>
                <w:rFonts w:ascii="Work Sans" w:hAnsi="Work Sans"/>
                <w:highlight w:val="yellow"/>
              </w:rPr>
            </w:pPr>
            <w:r w:rsidRPr="00630BDF">
              <w:rPr>
                <w:rFonts w:ascii="Work Sans" w:hAnsi="Work Sans"/>
                <w:b/>
                <w:bCs/>
              </w:rPr>
              <w:lastRenderedPageBreak/>
              <w:t>Article overview</w:t>
            </w:r>
            <w:r w:rsidR="004B0761" w:rsidRPr="00630BDF">
              <w:rPr>
                <w:rFonts w:ascii="Work Sans" w:hAnsi="Work Sans"/>
                <w:b/>
                <w:bCs/>
              </w:rPr>
              <w:t xml:space="preserve">: </w:t>
            </w:r>
            <w:r w:rsidR="00B47609" w:rsidRPr="00B47609">
              <w:rPr>
                <w:rFonts w:ascii="Work Sans" w:hAnsi="Work Sans"/>
              </w:rPr>
              <w:t xml:space="preserve">In this </w:t>
            </w:r>
            <w:r w:rsidR="008A6211">
              <w:rPr>
                <w:rFonts w:ascii="Work Sans" w:hAnsi="Work Sans"/>
              </w:rPr>
              <w:t>opinion article, the author considers the complex interplay of biodiversity and farming, and how a balance can be struck between protecting wildlife and producing food.</w:t>
            </w:r>
            <w:r w:rsidR="00590C43">
              <w:rPr>
                <w:rFonts w:ascii="Work Sans" w:hAnsi="Work Sans"/>
              </w:rPr>
              <w:t xml:space="preserve"> </w:t>
            </w:r>
          </w:p>
        </w:tc>
      </w:tr>
      <w:tr w:rsidR="002E5059" w:rsidRPr="00630BDF" w14:paraId="7B3FBD0A" w14:textId="77777777" w:rsidTr="502DBA26">
        <w:trPr>
          <w:trHeight w:val="2560"/>
        </w:trPr>
        <w:tc>
          <w:tcPr>
            <w:tcW w:w="1985" w:type="dxa"/>
            <w:vMerge/>
          </w:tcPr>
          <w:p w14:paraId="5AA61038" w14:textId="77777777" w:rsidR="002E5059" w:rsidRPr="00630BDF" w:rsidRDefault="002E5059" w:rsidP="00D96360">
            <w:pPr>
              <w:rPr>
                <w:rFonts w:ascii="Work Sans" w:hAnsi="Work Sans"/>
                <w:b/>
                <w:bCs/>
              </w:rPr>
            </w:pPr>
          </w:p>
        </w:tc>
        <w:tc>
          <w:tcPr>
            <w:tcW w:w="7513" w:type="dxa"/>
            <w:vAlign w:val="center"/>
          </w:tcPr>
          <w:p w14:paraId="42DE3879" w14:textId="047DB38E" w:rsidR="00885D7A" w:rsidRDefault="00CD07BB" w:rsidP="00A369B1">
            <w:pPr>
              <w:pStyle w:val="ListParagraph"/>
              <w:numPr>
                <w:ilvl w:val="0"/>
                <w:numId w:val="3"/>
              </w:numPr>
              <w:rPr>
                <w:rFonts w:ascii="Work Sans" w:hAnsi="Work Sans"/>
              </w:rPr>
            </w:pPr>
            <w:r>
              <w:rPr>
                <w:rFonts w:ascii="Work Sans" w:hAnsi="Work Sans"/>
              </w:rPr>
              <w:t>List some of the challenges that farmers today face</w:t>
            </w:r>
            <w:r w:rsidR="00885D7A">
              <w:rPr>
                <w:rFonts w:ascii="Work Sans" w:hAnsi="Work Sans"/>
              </w:rPr>
              <w:t>, as described by the author.</w:t>
            </w:r>
          </w:p>
          <w:p w14:paraId="63D74E4D" w14:textId="77777777" w:rsidR="00893BEE" w:rsidRDefault="00885D7A" w:rsidP="00A369B1">
            <w:pPr>
              <w:pStyle w:val="ListParagraph"/>
              <w:numPr>
                <w:ilvl w:val="0"/>
                <w:numId w:val="3"/>
              </w:numPr>
              <w:rPr>
                <w:rFonts w:ascii="Work Sans" w:hAnsi="Work Sans"/>
              </w:rPr>
            </w:pPr>
            <w:r>
              <w:rPr>
                <w:rFonts w:ascii="Work Sans" w:hAnsi="Work Sans"/>
              </w:rPr>
              <w:t>What are some of the services that biodiversity provides for farming systems</w:t>
            </w:r>
            <w:r w:rsidR="0002494B">
              <w:rPr>
                <w:rFonts w:ascii="Work Sans" w:hAnsi="Work Sans"/>
              </w:rPr>
              <w:t>?</w:t>
            </w:r>
          </w:p>
          <w:p w14:paraId="1C2CBC47" w14:textId="179DBA94" w:rsidR="0002494B" w:rsidRPr="00630BDF" w:rsidRDefault="0002494B" w:rsidP="00A369B1">
            <w:pPr>
              <w:pStyle w:val="ListParagraph"/>
              <w:numPr>
                <w:ilvl w:val="0"/>
                <w:numId w:val="3"/>
              </w:numPr>
              <w:rPr>
                <w:rFonts w:ascii="Work Sans" w:hAnsi="Work Sans"/>
              </w:rPr>
            </w:pPr>
            <w:r>
              <w:rPr>
                <w:rFonts w:ascii="Work Sans" w:hAnsi="Work Sans"/>
              </w:rPr>
              <w:t xml:space="preserve">Discuss some solutions to </w:t>
            </w:r>
            <w:r w:rsidR="00E445E0">
              <w:rPr>
                <w:rFonts w:ascii="Work Sans" w:hAnsi="Work Sans"/>
              </w:rPr>
              <w:t>disruptions in the nutrient cycle caused by intense agriculture.</w:t>
            </w:r>
          </w:p>
        </w:tc>
      </w:tr>
    </w:tbl>
    <w:p w14:paraId="57443340" w14:textId="77777777" w:rsidR="002E5059" w:rsidRPr="00630BDF" w:rsidRDefault="002E5059" w:rsidP="002E5059">
      <w:pPr>
        <w:rPr>
          <w:rFonts w:ascii="Work Sans" w:hAnsi="Work Sans"/>
        </w:rPr>
      </w:pPr>
    </w:p>
    <w:p w14:paraId="6E6EF996" w14:textId="77777777" w:rsidR="002E5059" w:rsidRPr="00630BDF" w:rsidRDefault="002E5059" w:rsidP="002E5059">
      <w:pPr>
        <w:rPr>
          <w:rFonts w:ascii="Work Sans" w:hAnsi="Work Sans"/>
        </w:rPr>
      </w:pPr>
    </w:p>
    <w:p w14:paraId="3269D971" w14:textId="77777777" w:rsidR="002E5059" w:rsidRPr="00630BDF" w:rsidRDefault="002E5059" w:rsidP="002E5059">
      <w:pPr>
        <w:rPr>
          <w:rFonts w:ascii="Work Sans" w:hAnsi="Work Sans"/>
        </w:rPr>
      </w:pPr>
    </w:p>
    <w:p w14:paraId="21C797E6" w14:textId="77777777" w:rsidR="002E5059" w:rsidRPr="00630BDF" w:rsidRDefault="002E5059" w:rsidP="002E5059">
      <w:pPr>
        <w:rPr>
          <w:rFonts w:ascii="Work Sans" w:hAnsi="Work Sans"/>
        </w:rPr>
      </w:pPr>
    </w:p>
    <w:p w14:paraId="3D39EE1F" w14:textId="77777777" w:rsidR="00BF7C69" w:rsidRPr="00630BDF" w:rsidRDefault="00BF7C69">
      <w:pPr>
        <w:rPr>
          <w:rFonts w:ascii="Work Sans" w:hAnsi="Work Sans"/>
        </w:rPr>
      </w:pPr>
    </w:p>
    <w:sectPr w:rsidR="00BF7C69" w:rsidRPr="00630BDF" w:rsidSect="002E5059">
      <w:headerReference w:type="default" r:id="rId12"/>
      <w:pgSz w:w="11906" w:h="16838"/>
      <w:pgMar w:top="1559" w:right="127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BFCF" w14:textId="77777777" w:rsidR="00981D14" w:rsidRDefault="00981D14" w:rsidP="003026FC">
      <w:pPr>
        <w:spacing w:after="0" w:line="240" w:lineRule="auto"/>
      </w:pPr>
      <w:r>
        <w:separator/>
      </w:r>
    </w:p>
  </w:endnote>
  <w:endnote w:type="continuationSeparator" w:id="0">
    <w:p w14:paraId="77A79B31" w14:textId="77777777" w:rsidR="00981D14" w:rsidRDefault="00981D14" w:rsidP="003026FC">
      <w:pPr>
        <w:spacing w:after="0" w:line="240" w:lineRule="auto"/>
      </w:pPr>
      <w:r>
        <w:continuationSeparator/>
      </w:r>
    </w:p>
  </w:endnote>
  <w:endnote w:type="continuationNotice" w:id="1">
    <w:p w14:paraId="4BB0E14D" w14:textId="77777777" w:rsidR="00981D14" w:rsidRDefault="00981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zald Book">
    <w:panose1 w:val="02000504000000020004"/>
    <w:charset w:val="00"/>
    <w:family w:val="modern"/>
    <w:notTrueType/>
    <w:pitch w:val="variable"/>
    <w:sig w:usb0="A10000FF" w:usb1="5001207B" w:usb2="00000000" w:usb3="00000000" w:csb0="00000093" w:csb1="00000000"/>
  </w:font>
  <w:font w:name="Work Sans">
    <w:panose1 w:val="00000000000000000000"/>
    <w:charset w:val="00"/>
    <w:family w:val="auto"/>
    <w:pitch w:val="variable"/>
    <w:sig w:usb0="A00000FF" w:usb1="5000E07B"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C306" w14:textId="77777777" w:rsidR="00981D14" w:rsidRDefault="00981D14" w:rsidP="003026FC">
      <w:pPr>
        <w:spacing w:after="0" w:line="240" w:lineRule="auto"/>
      </w:pPr>
      <w:r>
        <w:separator/>
      </w:r>
    </w:p>
  </w:footnote>
  <w:footnote w:type="continuationSeparator" w:id="0">
    <w:p w14:paraId="016A0F35" w14:textId="77777777" w:rsidR="00981D14" w:rsidRDefault="00981D14" w:rsidP="003026FC">
      <w:pPr>
        <w:spacing w:after="0" w:line="240" w:lineRule="auto"/>
      </w:pPr>
      <w:r>
        <w:continuationSeparator/>
      </w:r>
    </w:p>
  </w:footnote>
  <w:footnote w:type="continuationNotice" w:id="1">
    <w:p w14:paraId="1DC08271" w14:textId="77777777" w:rsidR="00981D14" w:rsidRDefault="00981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60D5" w14:textId="7CB0E2DD" w:rsidR="002A7D5C" w:rsidRDefault="00F35269">
    <w:pPr>
      <w:pStyle w:val="Header"/>
    </w:pPr>
    <w:r>
      <w:rPr>
        <w:noProof/>
        <w14:ligatures w14:val="standardContextual"/>
      </w:rPr>
      <w:drawing>
        <wp:anchor distT="0" distB="0" distL="114300" distR="114300" simplePos="0" relativeHeight="251658241" behindDoc="0" locked="0" layoutInCell="1" allowOverlap="1" wp14:anchorId="1E2A6E33" wp14:editId="5EDE9828">
          <wp:simplePos x="0" y="0"/>
          <wp:positionH relativeFrom="column">
            <wp:posOffset>5183150</wp:posOffset>
          </wp:positionH>
          <wp:positionV relativeFrom="paragraph">
            <wp:posOffset>-142925</wp:posOffset>
          </wp:positionV>
          <wp:extent cx="1111885" cy="672465"/>
          <wp:effectExtent l="0" t="0" r="0" b="0"/>
          <wp:wrapSquare wrapText="bothSides"/>
          <wp:docPr id="195789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93375" name="Picture 1957893375"/>
                  <pic:cNvPicPr/>
                </pic:nvPicPr>
                <pic:blipFill>
                  <a:blip r:embed="rId1">
                    <a:extLst>
                      <a:ext uri="{28A0092B-C50C-407E-A947-70E740481C1C}">
                        <a14:useLocalDpi xmlns:a14="http://schemas.microsoft.com/office/drawing/2010/main" val="0"/>
                      </a:ext>
                    </a:extLst>
                  </a:blip>
                  <a:stretch>
                    <a:fillRect/>
                  </a:stretch>
                </pic:blipFill>
                <pic:spPr>
                  <a:xfrm>
                    <a:off x="0" y="0"/>
                    <a:ext cx="1111885" cy="672465"/>
                  </a:xfrm>
                  <a:prstGeom prst="rect">
                    <a:avLst/>
                  </a:prstGeom>
                </pic:spPr>
              </pic:pic>
            </a:graphicData>
          </a:graphic>
        </wp:anchor>
      </w:drawing>
    </w:r>
    <w:r w:rsidR="009029E5">
      <w:rPr>
        <w:noProof/>
        <w14:ligatures w14:val="standardContextual"/>
      </w:rPr>
      <w:drawing>
        <wp:anchor distT="0" distB="0" distL="114300" distR="114300" simplePos="0" relativeHeight="251658240" behindDoc="0" locked="0" layoutInCell="1" allowOverlap="1" wp14:anchorId="51D8B6BF" wp14:editId="34858A50">
          <wp:simplePos x="0" y="0"/>
          <wp:positionH relativeFrom="margin">
            <wp:align>left</wp:align>
          </wp:positionH>
          <wp:positionV relativeFrom="paragraph">
            <wp:posOffset>-212090</wp:posOffset>
          </wp:positionV>
          <wp:extent cx="695325" cy="738505"/>
          <wp:effectExtent l="0" t="0" r="9525" b="4445"/>
          <wp:wrapSquare wrapText="bothSides"/>
          <wp:docPr id="1447868755" name="Picture 1447868755"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68755" name="Picture 1" descr="A logo with colorful circl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5325" cy="7385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7D1D"/>
    <w:multiLevelType w:val="hybridMultilevel"/>
    <w:tmpl w:val="F29A8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1D7A62"/>
    <w:multiLevelType w:val="hybridMultilevel"/>
    <w:tmpl w:val="E9503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1E4EC4"/>
    <w:multiLevelType w:val="hybridMultilevel"/>
    <w:tmpl w:val="1B62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67311F"/>
    <w:multiLevelType w:val="hybridMultilevel"/>
    <w:tmpl w:val="67267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1671476">
    <w:abstractNumId w:val="0"/>
  </w:num>
  <w:num w:numId="2" w16cid:durableId="1169835706">
    <w:abstractNumId w:val="1"/>
  </w:num>
  <w:num w:numId="3" w16cid:durableId="1373262442">
    <w:abstractNumId w:val="3"/>
  </w:num>
  <w:num w:numId="4" w16cid:durableId="114755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59"/>
    <w:rsid w:val="000207A6"/>
    <w:rsid w:val="0002494B"/>
    <w:rsid w:val="00026973"/>
    <w:rsid w:val="000345AA"/>
    <w:rsid w:val="00054150"/>
    <w:rsid w:val="000652B6"/>
    <w:rsid w:val="00076B18"/>
    <w:rsid w:val="00087981"/>
    <w:rsid w:val="000B2310"/>
    <w:rsid w:val="000B57CC"/>
    <w:rsid w:val="000B7A86"/>
    <w:rsid w:val="000C0F33"/>
    <w:rsid w:val="000C7B8F"/>
    <w:rsid w:val="000E0742"/>
    <w:rsid w:val="000F11C7"/>
    <w:rsid w:val="000F4A7A"/>
    <w:rsid w:val="000F60F2"/>
    <w:rsid w:val="000F6B88"/>
    <w:rsid w:val="0010070A"/>
    <w:rsid w:val="001107AB"/>
    <w:rsid w:val="00112753"/>
    <w:rsid w:val="0011715C"/>
    <w:rsid w:val="00120194"/>
    <w:rsid w:val="0012116D"/>
    <w:rsid w:val="00123563"/>
    <w:rsid w:val="00133D9B"/>
    <w:rsid w:val="001346D5"/>
    <w:rsid w:val="00134DDC"/>
    <w:rsid w:val="00144BBD"/>
    <w:rsid w:val="00150097"/>
    <w:rsid w:val="00153E28"/>
    <w:rsid w:val="001558F7"/>
    <w:rsid w:val="00167CF9"/>
    <w:rsid w:val="00171D24"/>
    <w:rsid w:val="00184C37"/>
    <w:rsid w:val="00184E79"/>
    <w:rsid w:val="00187F06"/>
    <w:rsid w:val="00191B3C"/>
    <w:rsid w:val="00194766"/>
    <w:rsid w:val="001A0B27"/>
    <w:rsid w:val="001A16B0"/>
    <w:rsid w:val="001D7CBF"/>
    <w:rsid w:val="001E4547"/>
    <w:rsid w:val="00203288"/>
    <w:rsid w:val="002074E8"/>
    <w:rsid w:val="002118FE"/>
    <w:rsid w:val="00220B62"/>
    <w:rsid w:val="00221985"/>
    <w:rsid w:val="002224DC"/>
    <w:rsid w:val="00226271"/>
    <w:rsid w:val="00272511"/>
    <w:rsid w:val="00275C58"/>
    <w:rsid w:val="002A1EEB"/>
    <w:rsid w:val="002A7D5C"/>
    <w:rsid w:val="002B297D"/>
    <w:rsid w:val="002B6D2D"/>
    <w:rsid w:val="002C6BE2"/>
    <w:rsid w:val="002C6C15"/>
    <w:rsid w:val="002D321B"/>
    <w:rsid w:val="002D5039"/>
    <w:rsid w:val="002E33BB"/>
    <w:rsid w:val="002E401C"/>
    <w:rsid w:val="002E5059"/>
    <w:rsid w:val="002F5A6D"/>
    <w:rsid w:val="00301943"/>
    <w:rsid w:val="003026FC"/>
    <w:rsid w:val="003033DC"/>
    <w:rsid w:val="00306BF7"/>
    <w:rsid w:val="00315E34"/>
    <w:rsid w:val="00321D22"/>
    <w:rsid w:val="00323BF7"/>
    <w:rsid w:val="003378D7"/>
    <w:rsid w:val="00343315"/>
    <w:rsid w:val="003444B1"/>
    <w:rsid w:val="00347831"/>
    <w:rsid w:val="0036280D"/>
    <w:rsid w:val="00363878"/>
    <w:rsid w:val="0036521C"/>
    <w:rsid w:val="0037685D"/>
    <w:rsid w:val="0038625B"/>
    <w:rsid w:val="003A2BC6"/>
    <w:rsid w:val="003A3F98"/>
    <w:rsid w:val="003C5CEA"/>
    <w:rsid w:val="003D0414"/>
    <w:rsid w:val="003D6112"/>
    <w:rsid w:val="003D6A42"/>
    <w:rsid w:val="003E0DEE"/>
    <w:rsid w:val="003F61AA"/>
    <w:rsid w:val="00401F43"/>
    <w:rsid w:val="004065B7"/>
    <w:rsid w:val="00417365"/>
    <w:rsid w:val="0042033A"/>
    <w:rsid w:val="004213A8"/>
    <w:rsid w:val="00427EF2"/>
    <w:rsid w:val="00440D4C"/>
    <w:rsid w:val="00446DC5"/>
    <w:rsid w:val="00462B20"/>
    <w:rsid w:val="004641F7"/>
    <w:rsid w:val="004670C9"/>
    <w:rsid w:val="004670F8"/>
    <w:rsid w:val="004724B3"/>
    <w:rsid w:val="00474819"/>
    <w:rsid w:val="00484B7B"/>
    <w:rsid w:val="00491D75"/>
    <w:rsid w:val="00492436"/>
    <w:rsid w:val="004A40D5"/>
    <w:rsid w:val="004B0761"/>
    <w:rsid w:val="0050667D"/>
    <w:rsid w:val="005138E1"/>
    <w:rsid w:val="0052551A"/>
    <w:rsid w:val="00531B75"/>
    <w:rsid w:val="00537F9E"/>
    <w:rsid w:val="00545646"/>
    <w:rsid w:val="005536FA"/>
    <w:rsid w:val="00560F94"/>
    <w:rsid w:val="00561C25"/>
    <w:rsid w:val="0057295B"/>
    <w:rsid w:val="00585947"/>
    <w:rsid w:val="00590C43"/>
    <w:rsid w:val="005924AD"/>
    <w:rsid w:val="00596C0A"/>
    <w:rsid w:val="00596DDC"/>
    <w:rsid w:val="005A560B"/>
    <w:rsid w:val="005B0D32"/>
    <w:rsid w:val="005B42B8"/>
    <w:rsid w:val="005B5E9A"/>
    <w:rsid w:val="005B67C6"/>
    <w:rsid w:val="005C0633"/>
    <w:rsid w:val="005C4A45"/>
    <w:rsid w:val="005D0820"/>
    <w:rsid w:val="005D1891"/>
    <w:rsid w:val="005D2B52"/>
    <w:rsid w:val="005F126F"/>
    <w:rsid w:val="005F19DE"/>
    <w:rsid w:val="005F2E04"/>
    <w:rsid w:val="00602520"/>
    <w:rsid w:val="00610C75"/>
    <w:rsid w:val="0061731E"/>
    <w:rsid w:val="0062635B"/>
    <w:rsid w:val="00630BDF"/>
    <w:rsid w:val="006336C2"/>
    <w:rsid w:val="006365EA"/>
    <w:rsid w:val="00647B2F"/>
    <w:rsid w:val="00647F5D"/>
    <w:rsid w:val="006507FC"/>
    <w:rsid w:val="00651007"/>
    <w:rsid w:val="006709F7"/>
    <w:rsid w:val="006975D1"/>
    <w:rsid w:val="006A0FA4"/>
    <w:rsid w:val="006A1969"/>
    <w:rsid w:val="006B0F33"/>
    <w:rsid w:val="006B6FCB"/>
    <w:rsid w:val="006C2090"/>
    <w:rsid w:val="006D11FB"/>
    <w:rsid w:val="006D794D"/>
    <w:rsid w:val="00705AFA"/>
    <w:rsid w:val="00725D60"/>
    <w:rsid w:val="00725F51"/>
    <w:rsid w:val="00731289"/>
    <w:rsid w:val="00732A75"/>
    <w:rsid w:val="00743055"/>
    <w:rsid w:val="007577D3"/>
    <w:rsid w:val="00782C74"/>
    <w:rsid w:val="00795675"/>
    <w:rsid w:val="007A42ED"/>
    <w:rsid w:val="007B129B"/>
    <w:rsid w:val="007B1453"/>
    <w:rsid w:val="007B326F"/>
    <w:rsid w:val="007B79FC"/>
    <w:rsid w:val="007C4BF9"/>
    <w:rsid w:val="007D67F8"/>
    <w:rsid w:val="007E2943"/>
    <w:rsid w:val="007F3FC4"/>
    <w:rsid w:val="007F500D"/>
    <w:rsid w:val="00801586"/>
    <w:rsid w:val="0081057B"/>
    <w:rsid w:val="008107A6"/>
    <w:rsid w:val="00830BB2"/>
    <w:rsid w:val="008323C9"/>
    <w:rsid w:val="0083728A"/>
    <w:rsid w:val="00884B91"/>
    <w:rsid w:val="00885D7A"/>
    <w:rsid w:val="00893BEE"/>
    <w:rsid w:val="008A6211"/>
    <w:rsid w:val="008D206B"/>
    <w:rsid w:val="008E4588"/>
    <w:rsid w:val="008F0EB6"/>
    <w:rsid w:val="008F419D"/>
    <w:rsid w:val="008F5206"/>
    <w:rsid w:val="008F59F6"/>
    <w:rsid w:val="009000D4"/>
    <w:rsid w:val="009029E5"/>
    <w:rsid w:val="00906BF5"/>
    <w:rsid w:val="00917743"/>
    <w:rsid w:val="009178B7"/>
    <w:rsid w:val="009223E4"/>
    <w:rsid w:val="00924426"/>
    <w:rsid w:val="009427B7"/>
    <w:rsid w:val="009632BF"/>
    <w:rsid w:val="009656A7"/>
    <w:rsid w:val="00965FF2"/>
    <w:rsid w:val="00967F89"/>
    <w:rsid w:val="00971A7B"/>
    <w:rsid w:val="00974D1C"/>
    <w:rsid w:val="00981D14"/>
    <w:rsid w:val="00990E6B"/>
    <w:rsid w:val="009A0807"/>
    <w:rsid w:val="009A1920"/>
    <w:rsid w:val="009B70C1"/>
    <w:rsid w:val="009B7141"/>
    <w:rsid w:val="009C7413"/>
    <w:rsid w:val="009D33CF"/>
    <w:rsid w:val="009E78FF"/>
    <w:rsid w:val="009F04F8"/>
    <w:rsid w:val="00A01B01"/>
    <w:rsid w:val="00A04533"/>
    <w:rsid w:val="00A10BEC"/>
    <w:rsid w:val="00A114DF"/>
    <w:rsid w:val="00A1554B"/>
    <w:rsid w:val="00A16813"/>
    <w:rsid w:val="00A2629E"/>
    <w:rsid w:val="00A27577"/>
    <w:rsid w:val="00A305AC"/>
    <w:rsid w:val="00A33EF8"/>
    <w:rsid w:val="00A369B1"/>
    <w:rsid w:val="00A45513"/>
    <w:rsid w:val="00A535C2"/>
    <w:rsid w:val="00A7153B"/>
    <w:rsid w:val="00A75196"/>
    <w:rsid w:val="00A94621"/>
    <w:rsid w:val="00AA1E39"/>
    <w:rsid w:val="00AA4909"/>
    <w:rsid w:val="00AA491C"/>
    <w:rsid w:val="00AB2A55"/>
    <w:rsid w:val="00AB704F"/>
    <w:rsid w:val="00AD3FF5"/>
    <w:rsid w:val="00AE572A"/>
    <w:rsid w:val="00B17317"/>
    <w:rsid w:val="00B21AC5"/>
    <w:rsid w:val="00B4006E"/>
    <w:rsid w:val="00B47609"/>
    <w:rsid w:val="00B51088"/>
    <w:rsid w:val="00B52BCF"/>
    <w:rsid w:val="00B7537F"/>
    <w:rsid w:val="00B84FBC"/>
    <w:rsid w:val="00B91D28"/>
    <w:rsid w:val="00B95891"/>
    <w:rsid w:val="00BA03FA"/>
    <w:rsid w:val="00BA0579"/>
    <w:rsid w:val="00BA6DC9"/>
    <w:rsid w:val="00BA7B98"/>
    <w:rsid w:val="00BB6E26"/>
    <w:rsid w:val="00BC1B33"/>
    <w:rsid w:val="00BC35B9"/>
    <w:rsid w:val="00BD1866"/>
    <w:rsid w:val="00BD5A1C"/>
    <w:rsid w:val="00BD72AD"/>
    <w:rsid w:val="00BE304D"/>
    <w:rsid w:val="00BF0CEA"/>
    <w:rsid w:val="00BF7C69"/>
    <w:rsid w:val="00C27D78"/>
    <w:rsid w:val="00C36341"/>
    <w:rsid w:val="00C372F0"/>
    <w:rsid w:val="00C47793"/>
    <w:rsid w:val="00C55405"/>
    <w:rsid w:val="00C60815"/>
    <w:rsid w:val="00C9181E"/>
    <w:rsid w:val="00C97892"/>
    <w:rsid w:val="00CD07BB"/>
    <w:rsid w:val="00CD6F7F"/>
    <w:rsid w:val="00CD71E5"/>
    <w:rsid w:val="00CF27E4"/>
    <w:rsid w:val="00CF3D04"/>
    <w:rsid w:val="00CF4B5D"/>
    <w:rsid w:val="00D10F79"/>
    <w:rsid w:val="00D129EA"/>
    <w:rsid w:val="00D20B35"/>
    <w:rsid w:val="00D575AC"/>
    <w:rsid w:val="00D96360"/>
    <w:rsid w:val="00DA0546"/>
    <w:rsid w:val="00DA26DE"/>
    <w:rsid w:val="00DE4851"/>
    <w:rsid w:val="00DE4AE9"/>
    <w:rsid w:val="00E0189C"/>
    <w:rsid w:val="00E05AED"/>
    <w:rsid w:val="00E445E0"/>
    <w:rsid w:val="00E47331"/>
    <w:rsid w:val="00E575D7"/>
    <w:rsid w:val="00E679CD"/>
    <w:rsid w:val="00E924CE"/>
    <w:rsid w:val="00EB067C"/>
    <w:rsid w:val="00EB7D35"/>
    <w:rsid w:val="00ED4AFD"/>
    <w:rsid w:val="00F100F5"/>
    <w:rsid w:val="00F10B31"/>
    <w:rsid w:val="00F222AF"/>
    <w:rsid w:val="00F23DAA"/>
    <w:rsid w:val="00F30629"/>
    <w:rsid w:val="00F31742"/>
    <w:rsid w:val="00F35269"/>
    <w:rsid w:val="00F52D80"/>
    <w:rsid w:val="00F5688A"/>
    <w:rsid w:val="00F6316F"/>
    <w:rsid w:val="00F717D4"/>
    <w:rsid w:val="00F86980"/>
    <w:rsid w:val="00F87DD6"/>
    <w:rsid w:val="00F97FD7"/>
    <w:rsid w:val="00FB0532"/>
    <w:rsid w:val="00FE56D6"/>
    <w:rsid w:val="00FF157E"/>
    <w:rsid w:val="00FF4F15"/>
    <w:rsid w:val="00FF5DB0"/>
    <w:rsid w:val="03CF4151"/>
    <w:rsid w:val="04F5EAA8"/>
    <w:rsid w:val="07E5716C"/>
    <w:rsid w:val="0A8C7CD7"/>
    <w:rsid w:val="149406C7"/>
    <w:rsid w:val="19A9E3AA"/>
    <w:rsid w:val="19AD2096"/>
    <w:rsid w:val="2A035C90"/>
    <w:rsid w:val="2B29020B"/>
    <w:rsid w:val="349B8887"/>
    <w:rsid w:val="3555FD7F"/>
    <w:rsid w:val="36B6FE4E"/>
    <w:rsid w:val="3A419424"/>
    <w:rsid w:val="46F03045"/>
    <w:rsid w:val="502DBA26"/>
    <w:rsid w:val="5C68FF28"/>
    <w:rsid w:val="60BDA4D7"/>
    <w:rsid w:val="65B18A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7BF9"/>
  <w15:chartTrackingRefBased/>
  <w15:docId w15:val="{2DF77214-253D-4695-86D9-C288C0DA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59"/>
    <w:rPr>
      <w:kern w:val="0"/>
      <w14:ligatures w14:val="none"/>
    </w:rPr>
  </w:style>
  <w:style w:type="paragraph" w:styleId="Heading1">
    <w:name w:val="heading 1"/>
    <w:basedOn w:val="Normal"/>
    <w:next w:val="Normal"/>
    <w:link w:val="Heading1Char"/>
    <w:uiPriority w:val="9"/>
    <w:qFormat/>
    <w:rsid w:val="002E5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059"/>
    <w:rPr>
      <w:rFonts w:eastAsiaTheme="majorEastAsia" w:cstheme="majorBidi"/>
      <w:color w:val="272727" w:themeColor="text1" w:themeTint="D8"/>
    </w:rPr>
  </w:style>
  <w:style w:type="paragraph" w:styleId="Title">
    <w:name w:val="Title"/>
    <w:basedOn w:val="Normal"/>
    <w:next w:val="Normal"/>
    <w:link w:val="TitleChar"/>
    <w:uiPriority w:val="10"/>
    <w:qFormat/>
    <w:rsid w:val="002E5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059"/>
    <w:pPr>
      <w:spacing w:before="160"/>
      <w:jc w:val="center"/>
    </w:pPr>
    <w:rPr>
      <w:i/>
      <w:iCs/>
      <w:color w:val="404040" w:themeColor="text1" w:themeTint="BF"/>
    </w:rPr>
  </w:style>
  <w:style w:type="character" w:customStyle="1" w:styleId="QuoteChar">
    <w:name w:val="Quote Char"/>
    <w:basedOn w:val="DefaultParagraphFont"/>
    <w:link w:val="Quote"/>
    <w:uiPriority w:val="29"/>
    <w:rsid w:val="002E5059"/>
    <w:rPr>
      <w:i/>
      <w:iCs/>
      <w:color w:val="404040" w:themeColor="text1" w:themeTint="BF"/>
    </w:rPr>
  </w:style>
  <w:style w:type="paragraph" w:styleId="ListParagraph">
    <w:name w:val="List Paragraph"/>
    <w:basedOn w:val="Normal"/>
    <w:uiPriority w:val="34"/>
    <w:qFormat/>
    <w:rsid w:val="002E5059"/>
    <w:pPr>
      <w:ind w:left="720"/>
      <w:contextualSpacing/>
    </w:pPr>
  </w:style>
  <w:style w:type="character" w:styleId="IntenseEmphasis">
    <w:name w:val="Intense Emphasis"/>
    <w:basedOn w:val="DefaultParagraphFont"/>
    <w:uiPriority w:val="21"/>
    <w:qFormat/>
    <w:rsid w:val="002E5059"/>
    <w:rPr>
      <w:i/>
      <w:iCs/>
      <w:color w:val="2F5496" w:themeColor="accent1" w:themeShade="BF"/>
    </w:rPr>
  </w:style>
  <w:style w:type="paragraph" w:styleId="IntenseQuote">
    <w:name w:val="Intense Quote"/>
    <w:basedOn w:val="Normal"/>
    <w:next w:val="Normal"/>
    <w:link w:val="IntenseQuoteChar"/>
    <w:uiPriority w:val="30"/>
    <w:qFormat/>
    <w:rsid w:val="002E5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059"/>
    <w:rPr>
      <w:i/>
      <w:iCs/>
      <w:color w:val="2F5496" w:themeColor="accent1" w:themeShade="BF"/>
    </w:rPr>
  </w:style>
  <w:style w:type="character" w:styleId="IntenseReference">
    <w:name w:val="Intense Reference"/>
    <w:basedOn w:val="DefaultParagraphFont"/>
    <w:uiPriority w:val="32"/>
    <w:qFormat/>
    <w:rsid w:val="002E5059"/>
    <w:rPr>
      <w:b/>
      <w:bCs/>
      <w:smallCaps/>
      <w:color w:val="2F5496" w:themeColor="accent1" w:themeShade="BF"/>
      <w:spacing w:val="5"/>
    </w:rPr>
  </w:style>
  <w:style w:type="table" w:styleId="TableGrid">
    <w:name w:val="Table Grid"/>
    <w:basedOn w:val="TableNormal"/>
    <w:uiPriority w:val="39"/>
    <w:rsid w:val="002E50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5059"/>
    <w:pPr>
      <w:spacing w:after="0" w:line="240" w:lineRule="auto"/>
    </w:pPr>
    <w:rPr>
      <w:kern w:val="0"/>
      <w14:ligatures w14:val="none"/>
    </w:rPr>
  </w:style>
  <w:style w:type="character" w:styleId="Hyperlink">
    <w:name w:val="Hyperlink"/>
    <w:basedOn w:val="DefaultParagraphFont"/>
    <w:uiPriority w:val="99"/>
    <w:unhideWhenUsed/>
    <w:rsid w:val="002E5059"/>
    <w:rPr>
      <w:color w:val="0000FF"/>
      <w:u w:val="single"/>
    </w:rPr>
  </w:style>
  <w:style w:type="paragraph" w:styleId="Header">
    <w:name w:val="header"/>
    <w:basedOn w:val="Normal"/>
    <w:link w:val="HeaderChar"/>
    <w:uiPriority w:val="99"/>
    <w:unhideWhenUsed/>
    <w:rsid w:val="002E5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059"/>
    <w:rPr>
      <w:kern w:val="0"/>
      <w14:ligatures w14:val="none"/>
    </w:rPr>
  </w:style>
  <w:style w:type="character" w:styleId="UnresolvedMention">
    <w:name w:val="Unresolved Mention"/>
    <w:basedOn w:val="DefaultParagraphFont"/>
    <w:uiPriority w:val="99"/>
    <w:semiHidden/>
    <w:unhideWhenUsed/>
    <w:rsid w:val="00531B75"/>
    <w:rPr>
      <w:color w:val="605E5C"/>
      <w:shd w:val="clear" w:color="auto" w:fill="E1DFDD"/>
    </w:rPr>
  </w:style>
  <w:style w:type="character" w:styleId="FollowedHyperlink">
    <w:name w:val="FollowedHyperlink"/>
    <w:basedOn w:val="DefaultParagraphFont"/>
    <w:uiPriority w:val="99"/>
    <w:semiHidden/>
    <w:unhideWhenUsed/>
    <w:rsid w:val="003378D7"/>
    <w:rPr>
      <w:color w:val="954F72" w:themeColor="followedHyperlink"/>
      <w:u w:val="single"/>
    </w:rPr>
  </w:style>
  <w:style w:type="paragraph" w:styleId="Footer">
    <w:name w:val="footer"/>
    <w:basedOn w:val="Normal"/>
    <w:link w:val="FooterChar"/>
    <w:uiPriority w:val="99"/>
    <w:unhideWhenUsed/>
    <w:rsid w:val="00302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6FC"/>
    <w:rPr>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029E5"/>
    <w:pPr>
      <w:spacing w:after="0" w:line="240" w:lineRule="auto"/>
    </w:pPr>
    <w:rPr>
      <w:kern w:val="0"/>
      <w14:ligatures w14:val="none"/>
    </w:rPr>
  </w:style>
  <w:style w:type="paragraph" w:styleId="NormalWeb">
    <w:name w:val="Normal (Web)"/>
    <w:basedOn w:val="Normal"/>
    <w:uiPriority w:val="99"/>
    <w:unhideWhenUsed/>
    <w:rsid w:val="00630B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9853">
      <w:bodyDiv w:val="1"/>
      <w:marLeft w:val="0"/>
      <w:marRight w:val="0"/>
      <w:marTop w:val="0"/>
      <w:marBottom w:val="0"/>
      <w:divBdr>
        <w:top w:val="none" w:sz="0" w:space="0" w:color="auto"/>
        <w:left w:val="none" w:sz="0" w:space="0" w:color="auto"/>
        <w:bottom w:val="none" w:sz="0" w:space="0" w:color="auto"/>
        <w:right w:val="none" w:sz="0" w:space="0" w:color="auto"/>
      </w:divBdr>
    </w:div>
    <w:div w:id="18835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ies.org/resources/fields-chang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531c7-eb33-48be-9889-ee787ffa7851">
      <Terms xmlns="http://schemas.microsoft.com/office/infopath/2007/PartnerControls"/>
    </lcf76f155ced4ddcb4097134ff3c332f>
    <TaxCatchAll xmlns="36d7926d-c934-413c-9e6d-038f771d3a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0CBEE1702AD04E9E39FB20318EB1B8" ma:contentTypeVersion="19" ma:contentTypeDescription="Create a new document." ma:contentTypeScope="" ma:versionID="bb5b94c40d10b5007884661b88c032fc">
  <xsd:schema xmlns:xsd="http://www.w3.org/2001/XMLSchema" xmlns:xs="http://www.w3.org/2001/XMLSchema" xmlns:p="http://schemas.microsoft.com/office/2006/metadata/properties" xmlns:ns2="af2531c7-eb33-48be-9889-ee787ffa7851" xmlns:ns3="36d7926d-c934-413c-9e6d-038f771d3aae" targetNamespace="http://schemas.microsoft.com/office/2006/metadata/properties" ma:root="true" ma:fieldsID="b72939887d9d9be43f0b13cefa51b3d0" ns2:_="" ns3:_="">
    <xsd:import namespace="af2531c7-eb33-48be-9889-ee787ffa7851"/>
    <xsd:import namespace="36d7926d-c934-413c-9e6d-038f771d3a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531c7-eb33-48be-9889-ee787ffa7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7926d-c934-413c-9e6d-038f771d3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7845a0-c36c-4b7a-8df5-0d2d7e2599f0}" ma:internalName="TaxCatchAll" ma:showField="CatchAllData" ma:web="36d7926d-c934-413c-9e6d-038f771d3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2A527-F327-42C6-BFE9-732C5D68C5E0}">
  <ds:schemaRefs>
    <ds:schemaRef ds:uri="http://schemas.microsoft.com/sharepoint/v3/contenttype/forms"/>
  </ds:schemaRefs>
</ds:datastoreItem>
</file>

<file path=customXml/itemProps2.xml><?xml version="1.0" encoding="utf-8"?>
<ds:datastoreItem xmlns:ds="http://schemas.openxmlformats.org/officeDocument/2006/customXml" ds:itemID="{A8C887F2-00B6-4576-BA7C-1852054F2347}">
  <ds:schemaRefs>
    <ds:schemaRef ds:uri="http://schemas.microsoft.com/office/2006/metadata/properties"/>
    <ds:schemaRef ds:uri="http://schemas.microsoft.com/office/infopath/2007/PartnerControls"/>
    <ds:schemaRef ds:uri="af2531c7-eb33-48be-9889-ee787ffa7851"/>
    <ds:schemaRef ds:uri="36d7926d-c934-413c-9e6d-038f771d3aae"/>
  </ds:schemaRefs>
</ds:datastoreItem>
</file>

<file path=customXml/itemProps3.xml><?xml version="1.0" encoding="utf-8"?>
<ds:datastoreItem xmlns:ds="http://schemas.openxmlformats.org/officeDocument/2006/customXml" ds:itemID="{ABF7FB0E-B4FC-4098-9228-B49D92C26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531c7-eb33-48be-9889-ee787ffa7851"/>
    <ds:schemaRef ds:uri="36d7926d-c934-413c-9e6d-038f771d3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Rowland</dc:creator>
  <cp:keywords/>
  <dc:description/>
  <cp:lastModifiedBy>Lucy Rowland</cp:lastModifiedBy>
  <cp:revision>30</cp:revision>
  <dcterms:created xsi:type="dcterms:W3CDTF">2026-01-07T12:34:00Z</dcterms:created>
  <dcterms:modified xsi:type="dcterms:W3CDTF">2026-01-07T15:09:00Z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0x010100D50CBEE1702AD04E9E39FB20318EB1B8</vt:lpwstr>
  </property>
  <property fmtid="{D5CDD505-2E9C-101B-9397-08002B2CF9AE}" pid="3" name="MediaServiceImageTags">
    <vt:lpwstr/>
  </property>
</Properties>
</file>