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10C48" w14:textId="77777777" w:rsidR="005F19DE" w:rsidRDefault="002E5059" w:rsidP="002E5059">
      <w:pPr>
        <w:jc w:val="center"/>
        <w:rPr>
          <w:rFonts w:ascii="Newzald Book" w:hAnsi="Newzald Book"/>
          <w:b/>
          <w:bCs/>
          <w:i/>
          <w:iCs/>
          <w:color w:val="1A1730"/>
          <w:sz w:val="28"/>
          <w:szCs w:val="28"/>
        </w:rPr>
      </w:pPr>
      <w:r w:rsidRPr="00DE4AE9">
        <w:rPr>
          <w:rFonts w:ascii="Newzald Book" w:hAnsi="Newzald Book"/>
          <w:b/>
          <w:bCs/>
          <w:i/>
          <w:iCs/>
          <w:color w:val="1A1730"/>
          <w:sz w:val="28"/>
          <w:szCs w:val="28"/>
        </w:rPr>
        <w:softHyphen/>
      </w:r>
      <w:r w:rsidRPr="00DE4AE9">
        <w:rPr>
          <w:rFonts w:ascii="Newzald Book" w:hAnsi="Newzald Book"/>
          <w:b/>
          <w:bCs/>
          <w:i/>
          <w:iCs/>
          <w:color w:val="1A1730"/>
          <w:sz w:val="28"/>
          <w:szCs w:val="28"/>
        </w:rPr>
        <w:softHyphen/>
      </w:r>
      <w:r w:rsidRPr="00DE4AE9">
        <w:rPr>
          <w:rFonts w:ascii="Newzald Book" w:hAnsi="Newzald Book"/>
          <w:b/>
          <w:bCs/>
          <w:i/>
          <w:iCs/>
          <w:color w:val="1A1730"/>
          <w:sz w:val="28"/>
          <w:szCs w:val="28"/>
        </w:rPr>
        <w:softHyphen/>
      </w:r>
    </w:p>
    <w:p w14:paraId="23ED5A70" w14:textId="39F60315" w:rsidR="002E5059" w:rsidRPr="00DE4AE9" w:rsidRDefault="002E5059" w:rsidP="002E5059">
      <w:pPr>
        <w:jc w:val="center"/>
        <w:rPr>
          <w:rFonts w:ascii="Newzald Book" w:hAnsi="Newzald Book"/>
          <w:b/>
          <w:bCs/>
          <w:color w:val="1A1730"/>
          <w:sz w:val="28"/>
          <w:szCs w:val="28"/>
        </w:rPr>
      </w:pPr>
      <w:r w:rsidRPr="00DE4AE9">
        <w:rPr>
          <w:rFonts w:ascii="Newzald Book" w:hAnsi="Newzald Book"/>
          <w:b/>
          <w:bCs/>
          <w:i/>
          <w:iCs/>
          <w:color w:val="1A1730"/>
          <w:sz w:val="28"/>
          <w:szCs w:val="28"/>
        </w:rPr>
        <w:t xml:space="preserve">environmental </w:t>
      </w:r>
      <w:proofErr w:type="gramStart"/>
      <w:r w:rsidRPr="00DE4AE9">
        <w:rPr>
          <w:rFonts w:ascii="Newzald Book" w:hAnsi="Newzald Book"/>
          <w:b/>
          <w:bCs/>
          <w:i/>
          <w:iCs/>
          <w:color w:val="1A1730"/>
          <w:sz w:val="28"/>
          <w:szCs w:val="28"/>
        </w:rPr>
        <w:t>SCIENTIST</w:t>
      </w:r>
      <w:r w:rsidR="00167CF9">
        <w:rPr>
          <w:rFonts w:ascii="Newzald Book" w:hAnsi="Newzald Book"/>
          <w:b/>
          <w:bCs/>
          <w:i/>
          <w:iCs/>
          <w:color w:val="1A1730"/>
          <w:sz w:val="28"/>
          <w:szCs w:val="28"/>
        </w:rPr>
        <w:t xml:space="preserve"> </w:t>
      </w:r>
      <w:r w:rsidRPr="00DE4AE9">
        <w:rPr>
          <w:rFonts w:ascii="Newzald Book" w:hAnsi="Newzald Book"/>
          <w:b/>
          <w:bCs/>
          <w:color w:val="1A1730"/>
          <w:sz w:val="28"/>
          <w:szCs w:val="28"/>
        </w:rPr>
        <w:t xml:space="preserve"> journal</w:t>
      </w:r>
      <w:proofErr w:type="gramEnd"/>
      <w:r w:rsidRPr="00DE4AE9">
        <w:rPr>
          <w:rFonts w:ascii="Newzald Book" w:hAnsi="Newzald Book"/>
          <w:b/>
          <w:bCs/>
          <w:color w:val="1A1730"/>
          <w:sz w:val="28"/>
          <w:szCs w:val="28"/>
        </w:rPr>
        <w:t>: Learning Resource Notes</w:t>
      </w:r>
    </w:p>
    <w:p w14:paraId="63B3538D" w14:textId="77777777" w:rsidR="002E5059" w:rsidRPr="00630BDF" w:rsidRDefault="002E5059" w:rsidP="002E5059">
      <w:pPr>
        <w:pStyle w:val="NoSpacing"/>
        <w:jc w:val="both"/>
        <w:rPr>
          <w:rFonts w:ascii="Work Sans" w:hAnsi="Work Sans"/>
        </w:rPr>
      </w:pPr>
      <w:r w:rsidRPr="00630BDF">
        <w:rPr>
          <w:rFonts w:ascii="Work Sans" w:hAnsi="Work Sans"/>
        </w:rPr>
        <w:t xml:space="preserve">The purpose of these educational resource notes is to provide a format for informal, seminar-style discussions of the topics explored in the latest edition of the journal of the Institution of Environmental Sciences. </w:t>
      </w:r>
    </w:p>
    <w:p w14:paraId="71993265" w14:textId="77777777" w:rsidR="002E5059" w:rsidRPr="00630BDF" w:rsidRDefault="002E5059" w:rsidP="002E5059">
      <w:pPr>
        <w:pStyle w:val="NoSpacing"/>
        <w:jc w:val="both"/>
        <w:rPr>
          <w:rFonts w:ascii="Work Sans" w:hAnsi="Work Sans"/>
        </w:rPr>
      </w:pPr>
      <w:r w:rsidRPr="00630BDF">
        <w:rPr>
          <w:rFonts w:ascii="Work Sans" w:hAnsi="Work Sans"/>
        </w:rPr>
        <w:t xml:space="preserve"> </w:t>
      </w:r>
    </w:p>
    <w:p w14:paraId="1D2F354B" w14:textId="77777777" w:rsidR="002E5059" w:rsidRPr="00630BDF" w:rsidRDefault="002E5059" w:rsidP="002E5059">
      <w:pPr>
        <w:pStyle w:val="NoSpacing"/>
        <w:jc w:val="both"/>
        <w:rPr>
          <w:rFonts w:ascii="Work Sans" w:hAnsi="Work Sans"/>
        </w:rPr>
      </w:pPr>
      <w:r w:rsidRPr="00630BDF">
        <w:rPr>
          <w:rFonts w:ascii="Work Sans" w:hAnsi="Work Sans"/>
        </w:rPr>
        <w:t>Through discussion of the ideas and issues presented within the journal, they aim to supplement and enhance students’ knowledge and understanding of a broad range of environmental science issues and provide insights into the professional concerns of practising environmental scientists.</w:t>
      </w:r>
    </w:p>
    <w:p w14:paraId="371C479A" w14:textId="77777777" w:rsidR="002E5059" w:rsidRPr="00630BDF" w:rsidRDefault="002E5059" w:rsidP="002E5059">
      <w:pPr>
        <w:pStyle w:val="NoSpacing"/>
        <w:rPr>
          <w:rFonts w:ascii="Work Sans" w:hAnsi="Work Sans"/>
          <w:b/>
          <w:bCs/>
        </w:rPr>
      </w:pPr>
    </w:p>
    <w:p w14:paraId="52F3B21D" w14:textId="77777777" w:rsidR="002E5059" w:rsidRPr="00630BDF" w:rsidRDefault="002E5059" w:rsidP="002E5059">
      <w:pPr>
        <w:pStyle w:val="NoSpacing"/>
        <w:rPr>
          <w:rFonts w:ascii="Work Sans" w:hAnsi="Work Sans"/>
          <w:b/>
          <w:bCs/>
        </w:rPr>
      </w:pPr>
      <w:r w:rsidRPr="00630BDF">
        <w:rPr>
          <w:rFonts w:ascii="Work Sans" w:hAnsi="Work Sans"/>
          <w:b/>
          <w:bCs/>
        </w:rPr>
        <w:t xml:space="preserve">Articles in focus </w:t>
      </w:r>
    </w:p>
    <w:p w14:paraId="6A04F433" w14:textId="77777777" w:rsidR="002E5059" w:rsidRPr="00630BDF" w:rsidRDefault="002E5059" w:rsidP="002E5059">
      <w:pPr>
        <w:pStyle w:val="NoSpacing"/>
        <w:jc w:val="both"/>
        <w:rPr>
          <w:rFonts w:ascii="Work Sans" w:hAnsi="Work Sans"/>
          <w:color w:val="000000"/>
        </w:rPr>
      </w:pPr>
      <w:r w:rsidRPr="00630BDF">
        <w:rPr>
          <w:rFonts w:ascii="Work Sans" w:hAnsi="Work Sans"/>
        </w:rPr>
        <w:t>The below articles have been selected as particularly relevant for in-depth discussion, allowing for wider debate of the key elements of the article topic. S</w:t>
      </w:r>
      <w:r w:rsidRPr="00630BDF">
        <w:rPr>
          <w:rFonts w:ascii="Work Sans" w:hAnsi="Work Sans"/>
          <w:color w:val="000000"/>
        </w:rPr>
        <w:t xml:space="preserve">ome </w:t>
      </w:r>
      <w:r w:rsidRPr="00630BDF">
        <w:rPr>
          <w:rFonts w:ascii="Work Sans" w:hAnsi="Work Sans"/>
        </w:rPr>
        <w:t>specific</w:t>
      </w:r>
      <w:r w:rsidRPr="00630BDF">
        <w:rPr>
          <w:rFonts w:ascii="Work Sans" w:hAnsi="Work Sans"/>
          <w:color w:val="000000"/>
        </w:rPr>
        <w:t xml:space="preserve"> questions you may </w:t>
      </w:r>
      <w:r w:rsidRPr="00630BDF">
        <w:rPr>
          <w:rFonts w:ascii="Work Sans" w:hAnsi="Work Sans"/>
        </w:rPr>
        <w:t>wish</w:t>
      </w:r>
      <w:r w:rsidRPr="00630BDF">
        <w:rPr>
          <w:rFonts w:ascii="Work Sans" w:hAnsi="Work Sans"/>
          <w:color w:val="000000"/>
        </w:rPr>
        <w:t xml:space="preserve"> to consider when reading and discussing </w:t>
      </w:r>
      <w:r w:rsidRPr="00630BDF">
        <w:rPr>
          <w:rFonts w:ascii="Work Sans" w:hAnsi="Work Sans"/>
        </w:rPr>
        <w:t xml:space="preserve">these </w:t>
      </w:r>
      <w:r w:rsidRPr="00630BDF">
        <w:rPr>
          <w:rFonts w:ascii="Work Sans" w:hAnsi="Work Sans"/>
          <w:color w:val="000000"/>
        </w:rPr>
        <w:t>articles </w:t>
      </w:r>
      <w:r w:rsidRPr="00630BDF">
        <w:rPr>
          <w:rFonts w:ascii="Work Sans" w:hAnsi="Work Sans"/>
        </w:rPr>
        <w:t>are outlined.</w:t>
      </w:r>
      <w:r w:rsidRPr="00630BDF">
        <w:rPr>
          <w:rFonts w:ascii="Work Sans" w:hAnsi="Work Sans"/>
          <w:color w:val="000000"/>
        </w:rPr>
        <w:t xml:space="preserve"> </w:t>
      </w:r>
    </w:p>
    <w:p w14:paraId="716FFD7A" w14:textId="77777777" w:rsidR="002E5059" w:rsidRPr="00630BDF" w:rsidRDefault="002E5059" w:rsidP="002E5059">
      <w:pPr>
        <w:pStyle w:val="NoSpacing"/>
        <w:jc w:val="both"/>
        <w:rPr>
          <w:rFonts w:ascii="Work Sans" w:hAnsi="Work Sans"/>
          <w:color w:val="000000"/>
        </w:rPr>
      </w:pPr>
    </w:p>
    <w:p w14:paraId="705C29F4" w14:textId="77777777" w:rsidR="002E5059" w:rsidRPr="00630BDF" w:rsidRDefault="002E5059" w:rsidP="002E5059">
      <w:pPr>
        <w:pStyle w:val="NoSpacing"/>
        <w:rPr>
          <w:rFonts w:ascii="Work Sans" w:hAnsi="Work Sans"/>
        </w:rPr>
      </w:pPr>
    </w:p>
    <w:tbl>
      <w:tblPr>
        <w:tblStyle w:val="TableGrid"/>
        <w:tblW w:w="9498" w:type="dxa"/>
        <w:tblInd w:w="-5" w:type="dxa"/>
        <w:tblLook w:val="04A0" w:firstRow="1" w:lastRow="0" w:firstColumn="1" w:lastColumn="0" w:noHBand="0" w:noVBand="1"/>
      </w:tblPr>
      <w:tblGrid>
        <w:gridCol w:w="1696"/>
        <w:gridCol w:w="7802"/>
      </w:tblGrid>
      <w:tr w:rsidR="002E5059" w:rsidRPr="00630BDF" w14:paraId="465DCF73" w14:textId="77777777" w:rsidTr="00D96360">
        <w:trPr>
          <w:trHeight w:val="1375"/>
        </w:trPr>
        <w:tc>
          <w:tcPr>
            <w:tcW w:w="1696" w:type="dxa"/>
            <w:shd w:val="clear" w:color="auto" w:fill="D9D9D9" w:themeFill="background1" w:themeFillShade="D9"/>
            <w:vAlign w:val="center"/>
          </w:tcPr>
          <w:p w14:paraId="1AC26091" w14:textId="77777777" w:rsidR="002E5059" w:rsidRPr="00630BDF" w:rsidRDefault="002E5059" w:rsidP="00D96360">
            <w:pPr>
              <w:rPr>
                <w:rFonts w:ascii="Work Sans" w:hAnsi="Work Sans"/>
              </w:rPr>
            </w:pPr>
            <w:r w:rsidRPr="00630BDF">
              <w:rPr>
                <w:rFonts w:ascii="Work Sans" w:hAnsi="Work Sans"/>
              </w:rPr>
              <w:t>Learning outcomes</w:t>
            </w:r>
          </w:p>
        </w:tc>
        <w:tc>
          <w:tcPr>
            <w:tcW w:w="7802" w:type="dxa"/>
            <w:vAlign w:val="center"/>
          </w:tcPr>
          <w:p w14:paraId="2DFF55F2" w14:textId="1D5F11C1" w:rsidR="002E5059" w:rsidRPr="00630BDF" w:rsidRDefault="002E5059" w:rsidP="00D96360">
            <w:pPr>
              <w:pStyle w:val="ListParagraph"/>
              <w:numPr>
                <w:ilvl w:val="0"/>
                <w:numId w:val="1"/>
              </w:numPr>
              <w:rPr>
                <w:rFonts w:ascii="Work Sans" w:hAnsi="Work Sans"/>
              </w:rPr>
            </w:pPr>
            <w:r w:rsidRPr="00630BDF">
              <w:rPr>
                <w:rFonts w:ascii="Work Sans" w:hAnsi="Work Sans"/>
              </w:rPr>
              <w:t xml:space="preserve">Understand the main </w:t>
            </w:r>
            <w:r w:rsidR="00990E6B" w:rsidRPr="00630BDF">
              <w:rPr>
                <w:rFonts w:ascii="Work Sans" w:hAnsi="Work Sans"/>
              </w:rPr>
              <w:t>concepts and challenges</w:t>
            </w:r>
            <w:r w:rsidRPr="00630BDF">
              <w:rPr>
                <w:rFonts w:ascii="Work Sans" w:hAnsi="Work Sans"/>
              </w:rPr>
              <w:t xml:space="preserve"> discussed in the </w:t>
            </w:r>
            <w:r w:rsidR="005D0820" w:rsidRPr="00630BDF">
              <w:rPr>
                <w:rFonts w:ascii="Work Sans" w:hAnsi="Work Sans"/>
              </w:rPr>
              <w:t>edition</w:t>
            </w:r>
          </w:p>
          <w:p w14:paraId="3790F264" w14:textId="5EC8EBE4" w:rsidR="002E5059" w:rsidRPr="00630BDF" w:rsidRDefault="002E5059" w:rsidP="00D96360">
            <w:pPr>
              <w:pStyle w:val="ListParagraph"/>
              <w:numPr>
                <w:ilvl w:val="0"/>
                <w:numId w:val="1"/>
              </w:numPr>
              <w:rPr>
                <w:rFonts w:ascii="Work Sans" w:hAnsi="Work Sans"/>
              </w:rPr>
            </w:pPr>
            <w:r w:rsidRPr="00630BDF">
              <w:rPr>
                <w:rFonts w:ascii="Work Sans" w:hAnsi="Work Sans"/>
              </w:rPr>
              <w:t xml:space="preserve">Describe the </w:t>
            </w:r>
            <w:r w:rsidR="00990E6B" w:rsidRPr="00630BDF">
              <w:rPr>
                <w:rFonts w:ascii="Work Sans" w:hAnsi="Work Sans"/>
              </w:rPr>
              <w:t xml:space="preserve">conclusions reached by authors, </w:t>
            </w:r>
            <w:r w:rsidRPr="00630BDF">
              <w:rPr>
                <w:rFonts w:ascii="Work Sans" w:hAnsi="Work Sans"/>
              </w:rPr>
              <w:t xml:space="preserve">and </w:t>
            </w:r>
            <w:r w:rsidR="00990E6B" w:rsidRPr="00630BDF">
              <w:rPr>
                <w:rFonts w:ascii="Work Sans" w:hAnsi="Work Sans"/>
              </w:rPr>
              <w:t xml:space="preserve">identify </w:t>
            </w:r>
            <w:r w:rsidRPr="00630BDF">
              <w:rPr>
                <w:rFonts w:ascii="Work Sans" w:hAnsi="Work Sans"/>
              </w:rPr>
              <w:t>their relevance to the environmental science sector</w:t>
            </w:r>
          </w:p>
          <w:p w14:paraId="4EAFB920" w14:textId="534A537F" w:rsidR="002E5059" w:rsidRPr="00630BDF" w:rsidRDefault="002E5059" w:rsidP="00D96360">
            <w:pPr>
              <w:pStyle w:val="ListParagraph"/>
              <w:numPr>
                <w:ilvl w:val="0"/>
                <w:numId w:val="1"/>
              </w:numPr>
              <w:rPr>
                <w:rFonts w:ascii="Work Sans" w:hAnsi="Work Sans"/>
              </w:rPr>
            </w:pPr>
            <w:r w:rsidRPr="00630BDF">
              <w:rPr>
                <w:rFonts w:ascii="Work Sans" w:hAnsi="Work Sans"/>
              </w:rPr>
              <w:t xml:space="preserve">Critically reflect on the </w:t>
            </w:r>
            <w:r w:rsidR="00990E6B" w:rsidRPr="00630BDF">
              <w:rPr>
                <w:rFonts w:ascii="Work Sans" w:hAnsi="Work Sans"/>
              </w:rPr>
              <w:t xml:space="preserve">ideas presented </w:t>
            </w:r>
          </w:p>
        </w:tc>
      </w:tr>
      <w:tr w:rsidR="002E5059" w:rsidRPr="00630BDF" w14:paraId="468D8679" w14:textId="77777777" w:rsidTr="00D96360">
        <w:trPr>
          <w:trHeight w:val="3110"/>
        </w:trPr>
        <w:tc>
          <w:tcPr>
            <w:tcW w:w="1696" w:type="dxa"/>
            <w:shd w:val="clear" w:color="auto" w:fill="D9D9D9" w:themeFill="background1" w:themeFillShade="D9"/>
            <w:vAlign w:val="center"/>
          </w:tcPr>
          <w:p w14:paraId="17EC4BEA" w14:textId="77777777" w:rsidR="002E5059" w:rsidRPr="00630BDF" w:rsidRDefault="002E5059" w:rsidP="00D96360">
            <w:pPr>
              <w:rPr>
                <w:rFonts w:ascii="Work Sans" w:hAnsi="Work Sans"/>
              </w:rPr>
            </w:pPr>
            <w:r w:rsidRPr="00630BDF">
              <w:rPr>
                <w:rFonts w:ascii="Work Sans" w:hAnsi="Work Sans"/>
              </w:rPr>
              <w:t>Format</w:t>
            </w:r>
          </w:p>
        </w:tc>
        <w:tc>
          <w:tcPr>
            <w:tcW w:w="7802" w:type="dxa"/>
            <w:vAlign w:val="center"/>
          </w:tcPr>
          <w:p w14:paraId="5F292161" w14:textId="08E8E221" w:rsidR="002E5059" w:rsidRPr="00630BDF" w:rsidRDefault="002E5059" w:rsidP="00D96360">
            <w:pPr>
              <w:pStyle w:val="NoSpacing"/>
              <w:numPr>
                <w:ilvl w:val="0"/>
                <w:numId w:val="1"/>
              </w:numPr>
              <w:rPr>
                <w:rFonts w:ascii="Work Sans" w:hAnsi="Work Sans"/>
              </w:rPr>
            </w:pPr>
            <w:r w:rsidRPr="00630BDF">
              <w:rPr>
                <w:rFonts w:ascii="Work Sans" w:hAnsi="Work Sans"/>
              </w:rPr>
              <w:t xml:space="preserve">Articles of particular interest are to be selected and shared with the group to read ahead of the discussion. Suggestions of focus articles are </w:t>
            </w:r>
            <w:r w:rsidR="005D0820" w:rsidRPr="00630BDF">
              <w:rPr>
                <w:rFonts w:ascii="Work Sans" w:hAnsi="Work Sans"/>
              </w:rPr>
              <w:t>described below.</w:t>
            </w:r>
          </w:p>
          <w:p w14:paraId="47F26A1E" w14:textId="75555417" w:rsidR="002E5059" w:rsidRPr="00630BDF" w:rsidRDefault="002E5059" w:rsidP="00D96360">
            <w:pPr>
              <w:pStyle w:val="NoSpacing"/>
              <w:numPr>
                <w:ilvl w:val="0"/>
                <w:numId w:val="1"/>
              </w:numPr>
              <w:rPr>
                <w:rFonts w:ascii="Work Sans" w:hAnsi="Work Sans"/>
              </w:rPr>
            </w:pPr>
            <w:r w:rsidRPr="00630BDF">
              <w:rPr>
                <w:rFonts w:ascii="Work Sans" w:hAnsi="Work Sans"/>
              </w:rPr>
              <w:t>Small group discussions of articles that closely relate to programme content to supplement learning</w:t>
            </w:r>
            <w:r w:rsidR="000B57CC" w:rsidRPr="00630BDF">
              <w:rPr>
                <w:rFonts w:ascii="Work Sans" w:hAnsi="Work Sans"/>
              </w:rPr>
              <w:t>.</w:t>
            </w:r>
          </w:p>
          <w:p w14:paraId="39DDDF9C" w14:textId="6587E2DA" w:rsidR="002E5059" w:rsidRPr="00630BDF" w:rsidRDefault="002E5059" w:rsidP="00D96360">
            <w:pPr>
              <w:pStyle w:val="NoSpacing"/>
              <w:numPr>
                <w:ilvl w:val="0"/>
                <w:numId w:val="1"/>
              </w:numPr>
              <w:rPr>
                <w:rFonts w:ascii="Work Sans" w:hAnsi="Work Sans"/>
              </w:rPr>
            </w:pPr>
            <w:r w:rsidRPr="00630BDF">
              <w:rPr>
                <w:rFonts w:ascii="Work Sans" w:hAnsi="Work Sans"/>
              </w:rPr>
              <w:t>Discussions can be led by participants or the tutor, using the ‘articles in focus’ resource to prompt debate and aid the conversation</w:t>
            </w:r>
            <w:r w:rsidR="000B57CC" w:rsidRPr="00630BDF">
              <w:rPr>
                <w:rFonts w:ascii="Work Sans" w:hAnsi="Work Sans"/>
              </w:rPr>
              <w:t>.</w:t>
            </w:r>
          </w:p>
          <w:p w14:paraId="0FD82DEE" w14:textId="6AAAE065" w:rsidR="002E5059" w:rsidRPr="00630BDF" w:rsidRDefault="002E5059" w:rsidP="00D96360">
            <w:pPr>
              <w:pStyle w:val="NoSpacing"/>
              <w:numPr>
                <w:ilvl w:val="0"/>
                <w:numId w:val="1"/>
              </w:numPr>
              <w:rPr>
                <w:rFonts w:ascii="Work Sans" w:hAnsi="Work Sans"/>
              </w:rPr>
            </w:pPr>
            <w:r w:rsidRPr="00630BDF">
              <w:rPr>
                <w:rFonts w:ascii="Work Sans" w:hAnsi="Work Sans"/>
              </w:rPr>
              <w:t>The suggested discussion points and questions provided in this pack for selected articles can be used as a starting point to guide the discussion</w:t>
            </w:r>
            <w:r w:rsidR="000B57CC" w:rsidRPr="00630BDF">
              <w:rPr>
                <w:rFonts w:ascii="Work Sans" w:hAnsi="Work Sans"/>
              </w:rPr>
              <w:t>.</w:t>
            </w:r>
          </w:p>
          <w:p w14:paraId="7366B729" w14:textId="7F7C8F77" w:rsidR="002E5059" w:rsidRPr="00630BDF" w:rsidRDefault="002E5059" w:rsidP="00D96360">
            <w:pPr>
              <w:pStyle w:val="NoSpacing"/>
              <w:numPr>
                <w:ilvl w:val="0"/>
                <w:numId w:val="1"/>
              </w:numPr>
              <w:rPr>
                <w:rFonts w:ascii="Work Sans" w:hAnsi="Work Sans"/>
              </w:rPr>
            </w:pPr>
            <w:r w:rsidRPr="00630BDF">
              <w:rPr>
                <w:rFonts w:ascii="Work Sans" w:hAnsi="Work Sans"/>
              </w:rPr>
              <w:t>Students can be encouraged to choose to discuss any of the other articles within the issue</w:t>
            </w:r>
            <w:r w:rsidR="000B57CC" w:rsidRPr="00630BDF">
              <w:rPr>
                <w:rFonts w:ascii="Work Sans" w:hAnsi="Work Sans"/>
              </w:rPr>
              <w:t>.</w:t>
            </w:r>
          </w:p>
        </w:tc>
      </w:tr>
    </w:tbl>
    <w:p w14:paraId="3E6C9D0F" w14:textId="77777777" w:rsidR="002E5059" w:rsidRPr="00630BDF" w:rsidRDefault="002E5059" w:rsidP="002E5059">
      <w:pPr>
        <w:rPr>
          <w:rFonts w:ascii="Work Sans" w:hAnsi="Work Sans"/>
          <w:sz w:val="20"/>
          <w:szCs w:val="20"/>
        </w:rPr>
      </w:pPr>
    </w:p>
    <w:p w14:paraId="67D21EC4" w14:textId="017AB169" w:rsidR="002E5059" w:rsidRPr="00630BDF" w:rsidRDefault="002E5059" w:rsidP="002E5059">
      <w:pPr>
        <w:rPr>
          <w:rFonts w:ascii="Work Sans" w:hAnsi="Work Sans"/>
          <w:b/>
          <w:bCs/>
        </w:rPr>
      </w:pPr>
      <w:r w:rsidRPr="00630BDF">
        <w:rPr>
          <w:rFonts w:ascii="Work Sans" w:hAnsi="Work Sans"/>
          <w:noProof/>
          <w14:ligatures w14:val="standardContextual"/>
        </w:rPr>
        <w:drawing>
          <wp:anchor distT="0" distB="0" distL="114300" distR="114300" simplePos="0" relativeHeight="251658240" behindDoc="0" locked="0" layoutInCell="1" allowOverlap="1" wp14:anchorId="011B0FDA" wp14:editId="5AF4A9D0">
            <wp:simplePos x="0" y="0"/>
            <wp:positionH relativeFrom="column">
              <wp:posOffset>41910</wp:posOffset>
            </wp:positionH>
            <wp:positionV relativeFrom="paragraph">
              <wp:posOffset>73660</wp:posOffset>
            </wp:positionV>
            <wp:extent cx="1550670" cy="2200910"/>
            <wp:effectExtent l="0" t="0" r="0" b="8890"/>
            <wp:wrapSquare wrapText="bothSides"/>
            <wp:docPr id="1600721181" name="Picture 160072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721181" name="Picture 160072118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0670" cy="2200910"/>
                    </a:xfrm>
                    <a:prstGeom prst="rect">
                      <a:avLst/>
                    </a:prstGeom>
                  </pic:spPr>
                </pic:pic>
              </a:graphicData>
            </a:graphic>
            <wp14:sizeRelH relativeFrom="margin">
              <wp14:pctWidth>0</wp14:pctWidth>
            </wp14:sizeRelH>
            <wp14:sizeRelV relativeFrom="margin">
              <wp14:pctHeight>0</wp14:pctHeight>
            </wp14:sizeRelV>
          </wp:anchor>
        </w:drawing>
      </w:r>
      <w:r w:rsidRPr="00630BDF">
        <w:rPr>
          <w:rFonts w:ascii="Work Sans" w:hAnsi="Work Sans"/>
        </w:rPr>
        <w:t>e</w:t>
      </w:r>
      <w:r w:rsidRPr="00630BDF">
        <w:rPr>
          <w:rFonts w:ascii="Work Sans" w:hAnsi="Work Sans"/>
          <w:i/>
          <w:iCs/>
        </w:rPr>
        <w:t>nvironmental SCIENTIST</w:t>
      </w:r>
      <w:r w:rsidRPr="00630BDF">
        <w:rPr>
          <w:rFonts w:ascii="Work Sans" w:hAnsi="Work Sans"/>
          <w:b/>
          <w:bCs/>
        </w:rPr>
        <w:br/>
      </w:r>
      <w:r w:rsidR="00B21AC5">
        <w:rPr>
          <w:rFonts w:ascii="Work Sans" w:hAnsi="Work Sans"/>
          <w:b/>
          <w:bCs/>
        </w:rPr>
        <w:t>Interweaving disciplines</w:t>
      </w:r>
      <w:r w:rsidRPr="00630BDF">
        <w:rPr>
          <w:rFonts w:ascii="Work Sans" w:hAnsi="Work Sans"/>
          <w:b/>
          <w:bCs/>
        </w:rPr>
        <w:br/>
      </w:r>
      <w:r w:rsidRPr="00630BDF">
        <w:rPr>
          <w:rFonts w:ascii="Work Sans" w:hAnsi="Work Sans"/>
        </w:rPr>
        <w:t>Vol 3</w:t>
      </w:r>
      <w:r w:rsidR="0012116D">
        <w:rPr>
          <w:rFonts w:ascii="Work Sans" w:hAnsi="Work Sans"/>
        </w:rPr>
        <w:t>5</w:t>
      </w:r>
      <w:r w:rsidRPr="00630BDF">
        <w:rPr>
          <w:rFonts w:ascii="Work Sans" w:hAnsi="Work Sans"/>
        </w:rPr>
        <w:t xml:space="preserve">, issue </w:t>
      </w:r>
      <w:r w:rsidR="00B21AC5">
        <w:rPr>
          <w:rFonts w:ascii="Work Sans" w:hAnsi="Work Sans"/>
        </w:rPr>
        <w:t>3</w:t>
      </w:r>
    </w:p>
    <w:p w14:paraId="794836A5" w14:textId="4E94BAE1" w:rsidR="002E5059" w:rsidRPr="00630BDF" w:rsidRDefault="00743055" w:rsidP="002E5059">
      <w:pPr>
        <w:pStyle w:val="NoSpacing"/>
        <w:rPr>
          <w:rFonts w:ascii="Work Sans" w:hAnsi="Work Sans"/>
          <w:b/>
          <w:bCs/>
          <w:sz w:val="30"/>
          <w:szCs w:val="30"/>
        </w:rPr>
      </w:pPr>
      <w:hyperlink r:id="rId11" w:history="1">
        <w:r w:rsidRPr="00AA6628">
          <w:rPr>
            <w:rStyle w:val="Hyperlink"/>
            <w:rFonts w:ascii="Work Sans" w:hAnsi="Work Sans"/>
          </w:rPr>
          <w:t>https://www.the-ies.org/resources/interweaving-disciplines</w:t>
        </w:r>
      </w:hyperlink>
      <w:r>
        <w:rPr>
          <w:rStyle w:val="Hyperlink"/>
          <w:rFonts w:ascii="Work Sans" w:hAnsi="Work Sans"/>
        </w:rPr>
        <w:t xml:space="preserve"> </w:t>
      </w:r>
    </w:p>
    <w:p w14:paraId="62654256" w14:textId="77777777" w:rsidR="002E5059" w:rsidRPr="00630BDF" w:rsidRDefault="002E5059" w:rsidP="002E5059">
      <w:pPr>
        <w:pStyle w:val="NoSpacing"/>
        <w:rPr>
          <w:rFonts w:ascii="Work Sans" w:hAnsi="Work Sans"/>
          <w:b/>
          <w:bCs/>
          <w:sz w:val="2"/>
          <w:szCs w:val="2"/>
        </w:rPr>
      </w:pPr>
    </w:p>
    <w:tbl>
      <w:tblPr>
        <w:tblStyle w:val="TableGrid"/>
        <w:tblW w:w="9498" w:type="dxa"/>
        <w:tblInd w:w="-5" w:type="dxa"/>
        <w:tblLook w:val="04A0" w:firstRow="1" w:lastRow="0" w:firstColumn="1" w:lastColumn="0" w:noHBand="0" w:noVBand="1"/>
      </w:tblPr>
      <w:tblGrid>
        <w:gridCol w:w="2122"/>
        <w:gridCol w:w="7376"/>
      </w:tblGrid>
      <w:tr w:rsidR="002E5059" w:rsidRPr="00630BDF" w14:paraId="41D35787" w14:textId="77777777" w:rsidTr="502DBA26">
        <w:trPr>
          <w:trHeight w:val="2162"/>
        </w:trPr>
        <w:tc>
          <w:tcPr>
            <w:tcW w:w="1985" w:type="dxa"/>
            <w:shd w:val="clear" w:color="auto" w:fill="D9D9D9" w:themeFill="background1" w:themeFillShade="D9"/>
            <w:vAlign w:val="center"/>
          </w:tcPr>
          <w:p w14:paraId="61AEDABF" w14:textId="77777777" w:rsidR="002E5059" w:rsidRPr="00630BDF" w:rsidRDefault="002E5059" w:rsidP="00D96360">
            <w:pPr>
              <w:rPr>
                <w:rFonts w:ascii="Work Sans" w:hAnsi="Work Sans"/>
                <w:b/>
                <w:bCs/>
              </w:rPr>
            </w:pPr>
            <w:r w:rsidRPr="00630BDF">
              <w:rPr>
                <w:rFonts w:ascii="Work Sans" w:hAnsi="Work Sans"/>
                <w:b/>
                <w:bCs/>
              </w:rPr>
              <w:lastRenderedPageBreak/>
              <w:t xml:space="preserve">Topic overview </w:t>
            </w:r>
          </w:p>
        </w:tc>
        <w:tc>
          <w:tcPr>
            <w:tcW w:w="7513" w:type="dxa"/>
            <w:vAlign w:val="center"/>
          </w:tcPr>
          <w:p w14:paraId="5A2BC1DB" w14:textId="7E289E5D" w:rsidR="00BE304D" w:rsidRPr="00BE304D" w:rsidRDefault="00BE304D" w:rsidP="00BE304D">
            <w:pPr>
              <w:pStyle w:val="NormalWeb"/>
              <w:shd w:val="clear" w:color="auto" w:fill="FFFFFF" w:themeFill="background1"/>
              <w:spacing w:before="120" w:after="240"/>
              <w:rPr>
                <w:rFonts w:ascii="Work Sans" w:hAnsi="Work Sans"/>
                <w:color w:val="000000" w:themeColor="text1"/>
                <w:sz w:val="20"/>
                <w:szCs w:val="20"/>
              </w:rPr>
            </w:pPr>
            <w:r w:rsidRPr="00BE304D">
              <w:rPr>
                <w:rFonts w:ascii="Work Sans" w:hAnsi="Work Sans"/>
                <w:color w:val="000000" w:themeColor="text1"/>
                <w:sz w:val="20"/>
                <w:szCs w:val="20"/>
              </w:rPr>
              <w:t>This unique edition of environmental SCIENTIST explores an approach that the IES has long championed in the sector: interdisciplinarity. Defined here as a way of working across and beyond traditional disciplinary boundaries, interdisciplinarity is fundamental to environmental science: a field that is home to a broad range of topics, concepts, and approaches to research and practice.</w:t>
            </w:r>
          </w:p>
          <w:p w14:paraId="5B0C614D" w14:textId="79B8301F" w:rsidR="00BE304D" w:rsidRPr="00BE304D" w:rsidRDefault="00BE304D" w:rsidP="00BE304D">
            <w:pPr>
              <w:pStyle w:val="NormalWeb"/>
              <w:shd w:val="clear" w:color="auto" w:fill="FFFFFF" w:themeFill="background1"/>
              <w:spacing w:before="120" w:after="240"/>
              <w:rPr>
                <w:rFonts w:ascii="Work Sans" w:hAnsi="Work Sans"/>
                <w:color w:val="000000" w:themeColor="text1"/>
                <w:sz w:val="20"/>
                <w:szCs w:val="20"/>
              </w:rPr>
            </w:pPr>
            <w:r w:rsidRPr="00BE304D">
              <w:rPr>
                <w:rFonts w:ascii="Work Sans" w:hAnsi="Work Sans"/>
                <w:color w:val="000000" w:themeColor="text1"/>
                <w:sz w:val="20"/>
                <w:szCs w:val="20"/>
              </w:rPr>
              <w:t>It could therefore be argued that environmental science is the natural habitat of interdisciplinary working. A less siloed approach to environmental work has gained traction over the last decade, and interdisciplinarity is now often held up as the gold standard of new research and working practices in environmental science. Professionals are encouraged to think and work with interdisciplinarity in mind: but how does this take shape when creating new research projects, new interdisciplinary teams, or engaging new audiences? Does the buzzword of interdisciplinarity bring with it adequate funding, support, and impetus for systemic change: enough to allow truly interdisciplinary work to take place, and break new ground?</w:t>
            </w:r>
          </w:p>
          <w:p w14:paraId="11C4B152" w14:textId="04FDBFC3" w:rsidR="00545646" w:rsidRPr="00630BDF" w:rsidRDefault="00BE304D" w:rsidP="00BE304D">
            <w:pPr>
              <w:pStyle w:val="NormalWeb"/>
              <w:shd w:val="clear" w:color="auto" w:fill="FFFFFF"/>
              <w:spacing w:before="120" w:beforeAutospacing="0" w:after="240" w:afterAutospacing="0"/>
              <w:rPr>
                <w:rFonts w:ascii="Work Sans" w:hAnsi="Work Sans"/>
                <w:color w:val="000000"/>
                <w:sz w:val="20"/>
                <w:szCs w:val="20"/>
              </w:rPr>
            </w:pPr>
            <w:r w:rsidRPr="00BE304D">
              <w:rPr>
                <w:rFonts w:ascii="Work Sans" w:hAnsi="Work Sans"/>
                <w:color w:val="000000" w:themeColor="text1"/>
                <w:sz w:val="20"/>
                <w:szCs w:val="20"/>
              </w:rPr>
              <w:t xml:space="preserve">This issue of environmental SCIENTIST considers the answers to these questions by showcasing success stories of the creation of new interdisciplinary communities, the formation of interdisciplinary Higher Education (HE) curricula for the next generation of environmental </w:t>
            </w:r>
            <w:proofErr w:type="gramStart"/>
            <w:r w:rsidRPr="00BE304D">
              <w:rPr>
                <w:rFonts w:ascii="Work Sans" w:hAnsi="Work Sans"/>
                <w:color w:val="000000" w:themeColor="text1"/>
                <w:sz w:val="20"/>
                <w:szCs w:val="20"/>
              </w:rPr>
              <w:t>scientists, and</w:t>
            </w:r>
            <w:proofErr w:type="gramEnd"/>
            <w:r w:rsidRPr="00BE304D">
              <w:rPr>
                <w:rFonts w:ascii="Work Sans" w:hAnsi="Work Sans"/>
                <w:color w:val="000000" w:themeColor="text1"/>
                <w:sz w:val="20"/>
                <w:szCs w:val="20"/>
              </w:rPr>
              <w:t xml:space="preserve"> considering how environmental professionals can follow their own game-changing interdisciplinary career paths.</w:t>
            </w:r>
          </w:p>
        </w:tc>
      </w:tr>
      <w:tr w:rsidR="002E5059" w:rsidRPr="00630BDF" w14:paraId="7DF946E9" w14:textId="77777777" w:rsidTr="502DBA26">
        <w:trPr>
          <w:trHeight w:val="289"/>
        </w:trPr>
        <w:tc>
          <w:tcPr>
            <w:tcW w:w="9498" w:type="dxa"/>
            <w:gridSpan w:val="2"/>
            <w:shd w:val="clear" w:color="auto" w:fill="D9D9D9" w:themeFill="background1" w:themeFillShade="D9"/>
          </w:tcPr>
          <w:p w14:paraId="63D1AD7C" w14:textId="77777777" w:rsidR="002E5059" w:rsidRPr="00630BDF" w:rsidRDefault="002E5059" w:rsidP="00D96360">
            <w:pPr>
              <w:pStyle w:val="NoSpacing"/>
              <w:jc w:val="center"/>
              <w:rPr>
                <w:rFonts w:ascii="Work Sans" w:hAnsi="Work Sans"/>
                <w:b/>
                <w:bCs/>
              </w:rPr>
            </w:pPr>
            <w:r w:rsidRPr="00630BDF">
              <w:rPr>
                <w:rFonts w:ascii="Work Sans" w:hAnsi="Work Sans"/>
                <w:b/>
                <w:bCs/>
              </w:rPr>
              <w:t>Articles in focus</w:t>
            </w:r>
          </w:p>
        </w:tc>
      </w:tr>
      <w:tr w:rsidR="002E5059" w:rsidRPr="00630BDF" w14:paraId="63532093" w14:textId="77777777" w:rsidTr="502DBA26">
        <w:trPr>
          <w:trHeight w:val="965"/>
        </w:trPr>
        <w:tc>
          <w:tcPr>
            <w:tcW w:w="1985" w:type="dxa"/>
            <w:vMerge w:val="restart"/>
            <w:shd w:val="clear" w:color="auto" w:fill="D9D9D9" w:themeFill="background1" w:themeFillShade="D9"/>
            <w:vAlign w:val="center"/>
          </w:tcPr>
          <w:p w14:paraId="5F2242D1" w14:textId="41A05593" w:rsidR="002E5059" w:rsidRPr="00630BDF" w:rsidRDefault="008107A6" w:rsidP="00D96360">
            <w:pPr>
              <w:rPr>
                <w:rFonts w:ascii="Work Sans" w:hAnsi="Work Sans"/>
                <w:b/>
                <w:bCs/>
              </w:rPr>
            </w:pPr>
            <w:r w:rsidRPr="00630BDF">
              <w:rPr>
                <w:rFonts w:ascii="Work Sans" w:hAnsi="Work Sans"/>
                <w:b/>
                <w:bCs/>
              </w:rPr>
              <w:t>‘</w:t>
            </w:r>
            <w:r w:rsidR="00AD3FF5">
              <w:rPr>
                <w:rFonts w:ascii="Work Sans" w:hAnsi="Work Sans"/>
                <w:b/>
                <w:bCs/>
              </w:rPr>
              <w:t>Interdisciplinary research: more than just a good idea’</w:t>
            </w:r>
          </w:p>
          <w:p w14:paraId="406A349A" w14:textId="77777777" w:rsidR="002E5059" w:rsidRPr="00630BDF" w:rsidRDefault="002E5059" w:rsidP="00D96360">
            <w:pPr>
              <w:rPr>
                <w:rFonts w:ascii="Work Sans" w:hAnsi="Work Sans"/>
                <w:b/>
                <w:bCs/>
              </w:rPr>
            </w:pPr>
          </w:p>
          <w:p w14:paraId="4570C845" w14:textId="408FA9BD" w:rsidR="002E5059" w:rsidRPr="00630BDF" w:rsidRDefault="008107A6" w:rsidP="00D96360">
            <w:pPr>
              <w:rPr>
                <w:rFonts w:ascii="Work Sans" w:hAnsi="Work Sans"/>
                <w:b/>
                <w:bCs/>
              </w:rPr>
            </w:pPr>
            <w:r w:rsidRPr="00630BDF">
              <w:rPr>
                <w:rFonts w:ascii="Work Sans" w:hAnsi="Work Sans"/>
                <w:b/>
                <w:bCs/>
              </w:rPr>
              <w:t>(</w:t>
            </w:r>
            <w:r w:rsidR="00AD3FF5">
              <w:rPr>
                <w:rFonts w:ascii="Work Sans" w:hAnsi="Work Sans"/>
                <w:b/>
                <w:bCs/>
              </w:rPr>
              <w:t>Jo Patterson, p. 20</w:t>
            </w:r>
            <w:r w:rsidR="002E5059" w:rsidRPr="00630BDF">
              <w:rPr>
                <w:rFonts w:ascii="Work Sans" w:hAnsi="Work Sans"/>
                <w:b/>
                <w:bCs/>
              </w:rPr>
              <w:t>)</w:t>
            </w:r>
          </w:p>
        </w:tc>
        <w:tc>
          <w:tcPr>
            <w:tcW w:w="7513" w:type="dxa"/>
            <w:shd w:val="clear" w:color="auto" w:fill="E7E6E6" w:themeFill="background2"/>
            <w:vAlign w:val="center"/>
          </w:tcPr>
          <w:p w14:paraId="12BFCE1E" w14:textId="65E5DA38" w:rsidR="002E5059" w:rsidRPr="00630BDF" w:rsidRDefault="002E5059" w:rsidP="00D96360">
            <w:pPr>
              <w:pStyle w:val="NoSpacing"/>
              <w:rPr>
                <w:rFonts w:ascii="Work Sans" w:hAnsi="Work Sans"/>
              </w:rPr>
            </w:pPr>
            <w:r w:rsidRPr="00630BDF">
              <w:rPr>
                <w:rFonts w:ascii="Work Sans" w:hAnsi="Work Sans"/>
                <w:b/>
                <w:bCs/>
              </w:rPr>
              <w:t>Article overview:</w:t>
            </w:r>
            <w:r w:rsidRPr="00630BDF">
              <w:rPr>
                <w:rFonts w:ascii="Work Sans" w:hAnsi="Work Sans"/>
              </w:rPr>
              <w:t xml:space="preserve"> </w:t>
            </w:r>
            <w:r w:rsidR="00AD3FF5">
              <w:rPr>
                <w:rFonts w:ascii="Work Sans" w:hAnsi="Work Sans"/>
              </w:rPr>
              <w:t xml:space="preserve">This article </w:t>
            </w:r>
            <w:r w:rsidR="00153E28">
              <w:rPr>
                <w:rFonts w:ascii="Work Sans" w:hAnsi="Work Sans"/>
              </w:rPr>
              <w:t>explores how interdisciplinary research can be used to create positive real-life solutions and benefits for the environment and society</w:t>
            </w:r>
          </w:p>
        </w:tc>
      </w:tr>
      <w:tr w:rsidR="002E5059" w:rsidRPr="00630BDF" w14:paraId="35A7A0A9" w14:textId="77777777" w:rsidTr="502DBA26">
        <w:trPr>
          <w:trHeight w:val="2539"/>
        </w:trPr>
        <w:tc>
          <w:tcPr>
            <w:tcW w:w="1985" w:type="dxa"/>
            <w:vMerge/>
          </w:tcPr>
          <w:p w14:paraId="071592C7" w14:textId="77777777" w:rsidR="002E5059" w:rsidRPr="00630BDF" w:rsidRDefault="002E5059" w:rsidP="00D96360">
            <w:pPr>
              <w:rPr>
                <w:rFonts w:ascii="Work Sans" w:hAnsi="Work Sans"/>
                <w:b/>
                <w:bCs/>
              </w:rPr>
            </w:pPr>
          </w:p>
        </w:tc>
        <w:tc>
          <w:tcPr>
            <w:tcW w:w="7513" w:type="dxa"/>
            <w:vAlign w:val="center"/>
          </w:tcPr>
          <w:p w14:paraId="3E32B330" w14:textId="0542B919" w:rsidR="005B67C6" w:rsidRDefault="00C9181E" w:rsidP="00D96360">
            <w:pPr>
              <w:pStyle w:val="ListParagraph"/>
              <w:numPr>
                <w:ilvl w:val="0"/>
                <w:numId w:val="2"/>
              </w:numPr>
              <w:spacing w:after="160"/>
              <w:rPr>
                <w:rFonts w:ascii="Work Sans" w:hAnsi="Work Sans"/>
              </w:rPr>
            </w:pPr>
            <w:r>
              <w:rPr>
                <w:rFonts w:ascii="Work Sans" w:hAnsi="Work Sans"/>
              </w:rPr>
              <w:t xml:space="preserve">Why </w:t>
            </w:r>
            <w:r w:rsidR="009E78FF">
              <w:rPr>
                <w:rFonts w:ascii="Work Sans" w:hAnsi="Work Sans"/>
              </w:rPr>
              <w:t>are insights from multiple disciplines important when responding to modern environmental challenges?</w:t>
            </w:r>
          </w:p>
          <w:p w14:paraId="3468F403" w14:textId="4C360A97" w:rsidR="003D0414" w:rsidRDefault="005D1891" w:rsidP="00D96360">
            <w:pPr>
              <w:pStyle w:val="ListParagraph"/>
              <w:numPr>
                <w:ilvl w:val="0"/>
                <w:numId w:val="2"/>
              </w:numPr>
              <w:spacing w:after="160"/>
              <w:rPr>
                <w:rFonts w:ascii="Work Sans" w:hAnsi="Work Sans"/>
              </w:rPr>
            </w:pPr>
            <w:r>
              <w:rPr>
                <w:rFonts w:ascii="Work Sans" w:hAnsi="Work Sans"/>
              </w:rPr>
              <w:t>At what stage of a project should interdisciplinarity be considered, and why?</w:t>
            </w:r>
          </w:p>
          <w:p w14:paraId="386C8142" w14:textId="48036600" w:rsidR="007F500D" w:rsidRPr="00630BDF" w:rsidRDefault="00203288" w:rsidP="00D96360">
            <w:pPr>
              <w:pStyle w:val="ListParagraph"/>
              <w:numPr>
                <w:ilvl w:val="0"/>
                <w:numId w:val="2"/>
              </w:numPr>
              <w:spacing w:after="160"/>
              <w:rPr>
                <w:rFonts w:ascii="Work Sans" w:hAnsi="Work Sans"/>
              </w:rPr>
            </w:pPr>
            <w:r>
              <w:rPr>
                <w:rFonts w:ascii="Work Sans" w:hAnsi="Work Sans"/>
              </w:rPr>
              <w:t>List 3 challenges that can be encountered when working on multidisciplinary or interdisciplinary research projects.</w:t>
            </w:r>
          </w:p>
        </w:tc>
      </w:tr>
      <w:tr w:rsidR="002E5059" w:rsidRPr="00630BDF" w14:paraId="67B49115" w14:textId="77777777" w:rsidTr="502DBA26">
        <w:trPr>
          <w:trHeight w:val="987"/>
        </w:trPr>
        <w:tc>
          <w:tcPr>
            <w:tcW w:w="1985" w:type="dxa"/>
            <w:vMerge w:val="restart"/>
            <w:shd w:val="clear" w:color="auto" w:fill="D9D9D9" w:themeFill="background1" w:themeFillShade="D9"/>
            <w:vAlign w:val="center"/>
          </w:tcPr>
          <w:p w14:paraId="641CAB71" w14:textId="415DA269" w:rsidR="002E5059" w:rsidRPr="00630BDF" w:rsidRDefault="0011715C" w:rsidP="00795675">
            <w:pPr>
              <w:rPr>
                <w:rFonts w:ascii="Work Sans" w:hAnsi="Work Sans"/>
                <w:b/>
                <w:bCs/>
              </w:rPr>
            </w:pPr>
            <w:r w:rsidRPr="00630BDF">
              <w:rPr>
                <w:rFonts w:ascii="Work Sans" w:hAnsi="Work Sans"/>
                <w:b/>
                <w:bCs/>
              </w:rPr>
              <w:t>‘</w:t>
            </w:r>
            <w:r w:rsidR="00725D60">
              <w:rPr>
                <w:rFonts w:ascii="Work Sans" w:hAnsi="Work Sans"/>
                <w:b/>
                <w:bCs/>
              </w:rPr>
              <w:t>Collaborative land and water management through the Catchment Based Approach</w:t>
            </w:r>
            <w:r w:rsidR="00795675">
              <w:rPr>
                <w:rFonts w:ascii="Work Sans" w:hAnsi="Work Sans"/>
                <w:b/>
                <w:bCs/>
              </w:rPr>
              <w:t>’</w:t>
            </w:r>
          </w:p>
          <w:p w14:paraId="3AE9F993" w14:textId="063D2AC7" w:rsidR="002E5059" w:rsidRPr="00630BDF" w:rsidRDefault="005A560B" w:rsidP="00D96360">
            <w:pPr>
              <w:rPr>
                <w:rFonts w:ascii="Work Sans" w:hAnsi="Work Sans"/>
                <w:b/>
                <w:bCs/>
              </w:rPr>
            </w:pPr>
            <w:r w:rsidRPr="00630BDF">
              <w:rPr>
                <w:rFonts w:ascii="Work Sans" w:hAnsi="Work Sans"/>
                <w:b/>
                <w:bCs/>
              </w:rPr>
              <w:t>(</w:t>
            </w:r>
            <w:r w:rsidR="00725D60">
              <w:rPr>
                <w:rFonts w:ascii="Work Sans" w:hAnsi="Work Sans"/>
                <w:b/>
                <w:bCs/>
              </w:rPr>
              <w:t>Rob Collins, p. 60</w:t>
            </w:r>
            <w:r w:rsidRPr="00630BDF">
              <w:rPr>
                <w:rFonts w:ascii="Work Sans" w:hAnsi="Work Sans"/>
                <w:b/>
                <w:bCs/>
              </w:rPr>
              <w:t>)</w:t>
            </w:r>
          </w:p>
        </w:tc>
        <w:tc>
          <w:tcPr>
            <w:tcW w:w="7513" w:type="dxa"/>
            <w:shd w:val="clear" w:color="auto" w:fill="E7E6E6" w:themeFill="background2"/>
            <w:vAlign w:val="center"/>
          </w:tcPr>
          <w:p w14:paraId="3D1848FB" w14:textId="7A906E6C" w:rsidR="002E5059" w:rsidRPr="00630BDF" w:rsidRDefault="002E5059" w:rsidP="00D96360">
            <w:pPr>
              <w:pStyle w:val="NoSpacing"/>
              <w:rPr>
                <w:rFonts w:ascii="Work Sans" w:hAnsi="Work Sans"/>
              </w:rPr>
            </w:pPr>
            <w:r w:rsidRPr="00630BDF">
              <w:rPr>
                <w:rFonts w:ascii="Work Sans" w:hAnsi="Work Sans"/>
                <w:b/>
                <w:bCs/>
              </w:rPr>
              <w:t>Article overview:</w:t>
            </w:r>
            <w:r w:rsidRPr="00630BDF">
              <w:rPr>
                <w:rFonts w:ascii="Work Sans" w:hAnsi="Work Sans"/>
              </w:rPr>
              <w:t xml:space="preserve"> </w:t>
            </w:r>
            <w:r w:rsidR="00725D60">
              <w:rPr>
                <w:rFonts w:ascii="Work Sans" w:hAnsi="Work Sans"/>
              </w:rPr>
              <w:t xml:space="preserve">This article </w:t>
            </w:r>
            <w:r w:rsidR="00647F5D">
              <w:rPr>
                <w:rFonts w:ascii="Work Sans" w:hAnsi="Work Sans"/>
              </w:rPr>
              <w:t>uses the Catchment Based Approach – a way of managing river catchments and ecosystems – as a case study demonstrating the benefits of effective collaboration across the public, private and NGO sectors</w:t>
            </w:r>
          </w:p>
        </w:tc>
      </w:tr>
      <w:tr w:rsidR="002E5059" w:rsidRPr="00630BDF" w14:paraId="76B6D917" w14:textId="77777777" w:rsidTr="502DBA26">
        <w:trPr>
          <w:trHeight w:val="2542"/>
        </w:trPr>
        <w:tc>
          <w:tcPr>
            <w:tcW w:w="1985" w:type="dxa"/>
            <w:vMerge/>
          </w:tcPr>
          <w:p w14:paraId="152ED2E9" w14:textId="77777777" w:rsidR="002E5059" w:rsidRPr="00630BDF" w:rsidRDefault="002E5059" w:rsidP="00D96360">
            <w:pPr>
              <w:rPr>
                <w:rFonts w:ascii="Work Sans" w:hAnsi="Work Sans"/>
                <w:b/>
                <w:bCs/>
              </w:rPr>
            </w:pPr>
          </w:p>
        </w:tc>
        <w:tc>
          <w:tcPr>
            <w:tcW w:w="7513" w:type="dxa"/>
            <w:vAlign w:val="center"/>
          </w:tcPr>
          <w:p w14:paraId="4E3BE63A" w14:textId="2975333F" w:rsidR="00537F9E" w:rsidRDefault="00731289" w:rsidP="00585947">
            <w:pPr>
              <w:pStyle w:val="ListParagraph"/>
              <w:numPr>
                <w:ilvl w:val="0"/>
                <w:numId w:val="4"/>
              </w:numPr>
              <w:rPr>
                <w:rFonts w:ascii="Work Sans" w:hAnsi="Work Sans"/>
              </w:rPr>
            </w:pPr>
            <w:r>
              <w:rPr>
                <w:rFonts w:ascii="Work Sans" w:hAnsi="Work Sans"/>
              </w:rPr>
              <w:t>Discuss h</w:t>
            </w:r>
            <w:r w:rsidR="00BB6E26">
              <w:rPr>
                <w:rFonts w:ascii="Work Sans" w:hAnsi="Work Sans"/>
              </w:rPr>
              <w:t>ow the Catchment Based Approach (</w:t>
            </w:r>
            <w:proofErr w:type="spellStart"/>
            <w:r w:rsidR="00BB6E26">
              <w:rPr>
                <w:rFonts w:ascii="Work Sans" w:hAnsi="Work Sans"/>
              </w:rPr>
              <w:t>CaBA</w:t>
            </w:r>
            <w:proofErr w:type="spellEnd"/>
            <w:r w:rsidR="005C0633">
              <w:rPr>
                <w:rFonts w:ascii="Work Sans" w:hAnsi="Work Sans"/>
              </w:rPr>
              <w:t xml:space="preserve">) </w:t>
            </w:r>
            <w:r>
              <w:rPr>
                <w:rFonts w:ascii="Work Sans" w:hAnsi="Work Sans"/>
              </w:rPr>
              <w:t>could be viewed as a fundamentally interdisciplinarity approach to river catchment management.</w:t>
            </w:r>
          </w:p>
          <w:p w14:paraId="22F9E581" w14:textId="7A6205E2" w:rsidR="00FF5DB0" w:rsidRDefault="00474819" w:rsidP="00585947">
            <w:pPr>
              <w:pStyle w:val="ListParagraph"/>
              <w:numPr>
                <w:ilvl w:val="0"/>
                <w:numId w:val="4"/>
              </w:numPr>
              <w:rPr>
                <w:rFonts w:ascii="Work Sans" w:hAnsi="Work Sans"/>
              </w:rPr>
            </w:pPr>
            <w:r>
              <w:rPr>
                <w:rFonts w:ascii="Work Sans" w:hAnsi="Work Sans"/>
              </w:rPr>
              <w:t xml:space="preserve">How do partnership organisations agree priorities for action in the </w:t>
            </w:r>
            <w:proofErr w:type="spellStart"/>
            <w:r>
              <w:rPr>
                <w:rFonts w:ascii="Work Sans" w:hAnsi="Work Sans"/>
              </w:rPr>
              <w:t>CaBA</w:t>
            </w:r>
            <w:proofErr w:type="spellEnd"/>
            <w:r>
              <w:rPr>
                <w:rFonts w:ascii="Work Sans" w:hAnsi="Work Sans"/>
              </w:rPr>
              <w:t xml:space="preserve"> approach?</w:t>
            </w:r>
          </w:p>
          <w:p w14:paraId="06B8B2FA" w14:textId="4DBFAF4E" w:rsidR="003444B1" w:rsidRPr="00630BDF" w:rsidRDefault="00801586" w:rsidP="00585947">
            <w:pPr>
              <w:pStyle w:val="ListParagraph"/>
              <w:numPr>
                <w:ilvl w:val="0"/>
                <w:numId w:val="4"/>
              </w:numPr>
              <w:rPr>
                <w:rFonts w:ascii="Work Sans" w:hAnsi="Work Sans"/>
              </w:rPr>
            </w:pPr>
            <w:r>
              <w:rPr>
                <w:rFonts w:ascii="Work Sans" w:hAnsi="Work Sans"/>
              </w:rPr>
              <w:t xml:space="preserve">Highlight two differences and two similarities between the environmental concerns of rural vs urban river catchments. </w:t>
            </w:r>
          </w:p>
        </w:tc>
      </w:tr>
      <w:tr w:rsidR="002E5059" w:rsidRPr="00630BDF" w14:paraId="405D6986" w14:textId="77777777" w:rsidTr="502DBA26">
        <w:trPr>
          <w:trHeight w:val="983"/>
        </w:trPr>
        <w:tc>
          <w:tcPr>
            <w:tcW w:w="1985" w:type="dxa"/>
            <w:vMerge w:val="restart"/>
            <w:shd w:val="clear" w:color="auto" w:fill="D9D9D9" w:themeFill="background1" w:themeFillShade="D9"/>
          </w:tcPr>
          <w:p w14:paraId="5B588DCD" w14:textId="1C02846D" w:rsidR="002E5059" w:rsidRPr="00630BDF" w:rsidRDefault="0011715C" w:rsidP="00D96360">
            <w:pPr>
              <w:rPr>
                <w:rFonts w:ascii="Work Sans" w:hAnsi="Work Sans"/>
                <w:b/>
                <w:bCs/>
              </w:rPr>
            </w:pPr>
            <w:r w:rsidRPr="00630BDF">
              <w:rPr>
                <w:rFonts w:ascii="Work Sans" w:hAnsi="Work Sans"/>
                <w:b/>
                <w:bCs/>
              </w:rPr>
              <w:lastRenderedPageBreak/>
              <w:t>‘</w:t>
            </w:r>
            <w:r w:rsidR="00B47609">
              <w:rPr>
                <w:rFonts w:ascii="Work Sans" w:hAnsi="Work Sans"/>
                <w:b/>
                <w:bCs/>
              </w:rPr>
              <w:t>Transformative change: how can meaningful trans-disciplinary approaches accelerate housing decarbonisation?</w:t>
            </w:r>
            <w:r w:rsidRPr="00630BDF">
              <w:rPr>
                <w:rFonts w:ascii="Work Sans" w:hAnsi="Work Sans"/>
                <w:b/>
                <w:bCs/>
              </w:rPr>
              <w:t>’ (</w:t>
            </w:r>
            <w:r w:rsidR="00B47609">
              <w:rPr>
                <w:rFonts w:ascii="Work Sans" w:hAnsi="Work Sans"/>
                <w:b/>
                <w:bCs/>
              </w:rPr>
              <w:t>Louse King, p. 78</w:t>
            </w:r>
            <w:r w:rsidRPr="00630BDF">
              <w:rPr>
                <w:rFonts w:ascii="Work Sans" w:hAnsi="Work Sans"/>
                <w:b/>
                <w:bCs/>
              </w:rPr>
              <w:t>)</w:t>
            </w:r>
          </w:p>
        </w:tc>
        <w:tc>
          <w:tcPr>
            <w:tcW w:w="7513" w:type="dxa"/>
            <w:shd w:val="clear" w:color="auto" w:fill="E7E6E6" w:themeFill="background2"/>
            <w:vAlign w:val="center"/>
          </w:tcPr>
          <w:p w14:paraId="6F44E04A" w14:textId="00CC5C98" w:rsidR="002E5059" w:rsidRPr="00630BDF" w:rsidRDefault="002E5059" w:rsidP="00D96360">
            <w:pPr>
              <w:pStyle w:val="NoSpacing"/>
              <w:rPr>
                <w:rFonts w:ascii="Work Sans" w:hAnsi="Work Sans"/>
                <w:highlight w:val="yellow"/>
              </w:rPr>
            </w:pPr>
            <w:r w:rsidRPr="00630BDF">
              <w:rPr>
                <w:rFonts w:ascii="Work Sans" w:hAnsi="Work Sans"/>
                <w:b/>
                <w:bCs/>
              </w:rPr>
              <w:t>Article overview</w:t>
            </w:r>
            <w:r w:rsidR="004B0761" w:rsidRPr="00630BDF">
              <w:rPr>
                <w:rFonts w:ascii="Work Sans" w:hAnsi="Work Sans"/>
                <w:b/>
                <w:bCs/>
              </w:rPr>
              <w:t xml:space="preserve">: </w:t>
            </w:r>
            <w:r w:rsidR="00B47609" w:rsidRPr="00B47609">
              <w:rPr>
                <w:rFonts w:ascii="Work Sans" w:hAnsi="Work Sans"/>
              </w:rPr>
              <w:t>In this article, the author</w:t>
            </w:r>
            <w:r w:rsidR="00B47609">
              <w:rPr>
                <w:rFonts w:ascii="Work Sans" w:hAnsi="Work Sans"/>
              </w:rPr>
              <w:t xml:space="preserve"> </w:t>
            </w:r>
            <w:r w:rsidR="009B7141">
              <w:rPr>
                <w:rFonts w:ascii="Work Sans" w:hAnsi="Work Sans"/>
              </w:rPr>
              <w:t>explores how the transformation of the UK’s existing housing stock can be improved through interdisciplinary thinking and working.</w:t>
            </w:r>
            <w:r w:rsidR="00590C43">
              <w:rPr>
                <w:rFonts w:ascii="Work Sans" w:hAnsi="Work Sans"/>
              </w:rPr>
              <w:t xml:space="preserve"> </w:t>
            </w:r>
          </w:p>
        </w:tc>
      </w:tr>
      <w:tr w:rsidR="002E5059" w:rsidRPr="00630BDF" w14:paraId="7B3FBD0A" w14:textId="77777777" w:rsidTr="502DBA26">
        <w:trPr>
          <w:trHeight w:val="2560"/>
        </w:trPr>
        <w:tc>
          <w:tcPr>
            <w:tcW w:w="1985" w:type="dxa"/>
            <w:vMerge/>
          </w:tcPr>
          <w:p w14:paraId="5AA61038" w14:textId="77777777" w:rsidR="002E5059" w:rsidRPr="00630BDF" w:rsidRDefault="002E5059" w:rsidP="00D96360">
            <w:pPr>
              <w:rPr>
                <w:rFonts w:ascii="Work Sans" w:hAnsi="Work Sans"/>
                <w:b/>
                <w:bCs/>
              </w:rPr>
            </w:pPr>
          </w:p>
        </w:tc>
        <w:tc>
          <w:tcPr>
            <w:tcW w:w="7513" w:type="dxa"/>
            <w:vAlign w:val="center"/>
          </w:tcPr>
          <w:p w14:paraId="02301EA7" w14:textId="6C247138" w:rsidR="00E575D7" w:rsidRDefault="005924AD" w:rsidP="00A369B1">
            <w:pPr>
              <w:pStyle w:val="ListParagraph"/>
              <w:numPr>
                <w:ilvl w:val="0"/>
                <w:numId w:val="3"/>
              </w:numPr>
              <w:rPr>
                <w:rFonts w:ascii="Work Sans" w:hAnsi="Work Sans"/>
              </w:rPr>
            </w:pPr>
            <w:r>
              <w:rPr>
                <w:rFonts w:ascii="Work Sans" w:hAnsi="Work Sans"/>
              </w:rPr>
              <w:t>Identify two reasons why the UK’s housing retrofit has not been delivered at the pace and scale needed to reach Net Zero.</w:t>
            </w:r>
          </w:p>
          <w:p w14:paraId="643753DC" w14:textId="51552B5A" w:rsidR="005924AD" w:rsidRDefault="00363878" w:rsidP="00A369B1">
            <w:pPr>
              <w:pStyle w:val="ListParagraph"/>
              <w:numPr>
                <w:ilvl w:val="0"/>
                <w:numId w:val="3"/>
              </w:numPr>
              <w:rPr>
                <w:rFonts w:ascii="Work Sans" w:hAnsi="Work Sans"/>
              </w:rPr>
            </w:pPr>
            <w:r>
              <w:rPr>
                <w:rFonts w:ascii="Work Sans" w:hAnsi="Work Sans"/>
              </w:rPr>
              <w:t xml:space="preserve">Explain why national policy on housing retrofit </w:t>
            </w:r>
            <w:r w:rsidR="00884B91">
              <w:rPr>
                <w:rFonts w:ascii="Work Sans" w:hAnsi="Work Sans"/>
              </w:rPr>
              <w:t>should</w:t>
            </w:r>
            <w:r>
              <w:rPr>
                <w:rFonts w:ascii="Work Sans" w:hAnsi="Work Sans"/>
              </w:rPr>
              <w:t xml:space="preserve"> </w:t>
            </w:r>
            <w:proofErr w:type="gramStart"/>
            <w:r w:rsidR="00884B91">
              <w:rPr>
                <w:rFonts w:ascii="Work Sans" w:hAnsi="Work Sans"/>
              </w:rPr>
              <w:t>take into account</w:t>
            </w:r>
            <w:proofErr w:type="gramEnd"/>
            <w:r>
              <w:rPr>
                <w:rFonts w:ascii="Work Sans" w:hAnsi="Work Sans"/>
              </w:rPr>
              <w:t xml:space="preserve"> the differences between different local areas.</w:t>
            </w:r>
          </w:p>
          <w:p w14:paraId="1C2CBC47" w14:textId="1D2573F4" w:rsidR="00893BEE" w:rsidRPr="00630BDF" w:rsidRDefault="0038625B" w:rsidP="00A369B1">
            <w:pPr>
              <w:pStyle w:val="ListParagraph"/>
              <w:numPr>
                <w:ilvl w:val="0"/>
                <w:numId w:val="3"/>
              </w:numPr>
              <w:rPr>
                <w:rFonts w:ascii="Work Sans" w:hAnsi="Work Sans"/>
              </w:rPr>
            </w:pPr>
            <w:r>
              <w:rPr>
                <w:rFonts w:ascii="Work Sans" w:hAnsi="Work Sans"/>
              </w:rPr>
              <w:t xml:space="preserve">Discuss the connections between environmental and social justice in retrofitting the UK housing stock. </w:t>
            </w:r>
          </w:p>
        </w:tc>
      </w:tr>
    </w:tbl>
    <w:p w14:paraId="57443340" w14:textId="77777777" w:rsidR="002E5059" w:rsidRPr="00630BDF" w:rsidRDefault="002E5059" w:rsidP="002E5059">
      <w:pPr>
        <w:rPr>
          <w:rFonts w:ascii="Work Sans" w:hAnsi="Work Sans"/>
        </w:rPr>
      </w:pPr>
    </w:p>
    <w:p w14:paraId="6E6EF996" w14:textId="77777777" w:rsidR="002E5059" w:rsidRPr="00630BDF" w:rsidRDefault="002E5059" w:rsidP="002E5059">
      <w:pPr>
        <w:rPr>
          <w:rFonts w:ascii="Work Sans" w:hAnsi="Work Sans"/>
        </w:rPr>
      </w:pPr>
    </w:p>
    <w:p w14:paraId="3269D971" w14:textId="77777777" w:rsidR="002E5059" w:rsidRPr="00630BDF" w:rsidRDefault="002E5059" w:rsidP="002E5059">
      <w:pPr>
        <w:rPr>
          <w:rFonts w:ascii="Work Sans" w:hAnsi="Work Sans"/>
        </w:rPr>
      </w:pPr>
    </w:p>
    <w:p w14:paraId="21C797E6" w14:textId="77777777" w:rsidR="002E5059" w:rsidRPr="00630BDF" w:rsidRDefault="002E5059" w:rsidP="002E5059">
      <w:pPr>
        <w:rPr>
          <w:rFonts w:ascii="Work Sans" w:hAnsi="Work Sans"/>
        </w:rPr>
      </w:pPr>
    </w:p>
    <w:p w14:paraId="3D39EE1F" w14:textId="77777777" w:rsidR="00BF7C69" w:rsidRPr="00630BDF" w:rsidRDefault="00BF7C69">
      <w:pPr>
        <w:rPr>
          <w:rFonts w:ascii="Work Sans" w:hAnsi="Work Sans"/>
        </w:rPr>
      </w:pPr>
    </w:p>
    <w:sectPr w:rsidR="00BF7C69" w:rsidRPr="00630BDF" w:rsidSect="002E5059">
      <w:headerReference w:type="default" r:id="rId12"/>
      <w:pgSz w:w="11906" w:h="16838"/>
      <w:pgMar w:top="1559" w:right="127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1BFCF" w14:textId="77777777" w:rsidR="00981D14" w:rsidRDefault="00981D14" w:rsidP="003026FC">
      <w:pPr>
        <w:spacing w:after="0" w:line="240" w:lineRule="auto"/>
      </w:pPr>
      <w:r>
        <w:separator/>
      </w:r>
    </w:p>
  </w:endnote>
  <w:endnote w:type="continuationSeparator" w:id="0">
    <w:p w14:paraId="77A79B31" w14:textId="77777777" w:rsidR="00981D14" w:rsidRDefault="00981D14" w:rsidP="003026FC">
      <w:pPr>
        <w:spacing w:after="0" w:line="240" w:lineRule="auto"/>
      </w:pPr>
      <w:r>
        <w:continuationSeparator/>
      </w:r>
    </w:p>
  </w:endnote>
  <w:endnote w:type="continuationNotice" w:id="1">
    <w:p w14:paraId="4BB0E14D" w14:textId="77777777" w:rsidR="00981D14" w:rsidRDefault="00981D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ewzald Book">
    <w:panose1 w:val="02000504000000020004"/>
    <w:charset w:val="00"/>
    <w:family w:val="modern"/>
    <w:notTrueType/>
    <w:pitch w:val="variable"/>
    <w:sig w:usb0="A10000FF" w:usb1="5001207B" w:usb2="00000000" w:usb3="00000000" w:csb0="00000093" w:csb1="00000000"/>
  </w:font>
  <w:font w:name="Work Sans">
    <w:panose1 w:val="00000000000000000000"/>
    <w:charset w:val="00"/>
    <w:family w:val="auto"/>
    <w:pitch w:val="variable"/>
    <w:sig w:usb0="A00000FF" w:usb1="5000E07B" w:usb2="00000000" w:usb3="00000000" w:csb0="00000193"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AC306" w14:textId="77777777" w:rsidR="00981D14" w:rsidRDefault="00981D14" w:rsidP="003026FC">
      <w:pPr>
        <w:spacing w:after="0" w:line="240" w:lineRule="auto"/>
      </w:pPr>
      <w:r>
        <w:separator/>
      </w:r>
    </w:p>
  </w:footnote>
  <w:footnote w:type="continuationSeparator" w:id="0">
    <w:p w14:paraId="016A0F35" w14:textId="77777777" w:rsidR="00981D14" w:rsidRDefault="00981D14" w:rsidP="003026FC">
      <w:pPr>
        <w:spacing w:after="0" w:line="240" w:lineRule="auto"/>
      </w:pPr>
      <w:r>
        <w:continuationSeparator/>
      </w:r>
    </w:p>
  </w:footnote>
  <w:footnote w:type="continuationNotice" w:id="1">
    <w:p w14:paraId="1DC08271" w14:textId="77777777" w:rsidR="00981D14" w:rsidRDefault="00981D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60D5" w14:textId="7CB0E2DD" w:rsidR="002A7D5C" w:rsidRDefault="00F35269">
    <w:pPr>
      <w:pStyle w:val="Header"/>
    </w:pPr>
    <w:r>
      <w:rPr>
        <w:noProof/>
        <w14:ligatures w14:val="standardContextual"/>
      </w:rPr>
      <w:drawing>
        <wp:anchor distT="0" distB="0" distL="114300" distR="114300" simplePos="0" relativeHeight="251658241" behindDoc="0" locked="0" layoutInCell="1" allowOverlap="1" wp14:anchorId="1E2A6E33" wp14:editId="5EDE9828">
          <wp:simplePos x="0" y="0"/>
          <wp:positionH relativeFrom="column">
            <wp:posOffset>5183150</wp:posOffset>
          </wp:positionH>
          <wp:positionV relativeFrom="paragraph">
            <wp:posOffset>-142925</wp:posOffset>
          </wp:positionV>
          <wp:extent cx="1111885" cy="672465"/>
          <wp:effectExtent l="0" t="0" r="0" b="0"/>
          <wp:wrapSquare wrapText="bothSides"/>
          <wp:docPr id="1957893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893375" name="Picture 1957893375"/>
                  <pic:cNvPicPr/>
                </pic:nvPicPr>
                <pic:blipFill>
                  <a:blip r:embed="rId1">
                    <a:extLst>
                      <a:ext uri="{28A0092B-C50C-407E-A947-70E740481C1C}">
                        <a14:useLocalDpi xmlns:a14="http://schemas.microsoft.com/office/drawing/2010/main" val="0"/>
                      </a:ext>
                    </a:extLst>
                  </a:blip>
                  <a:stretch>
                    <a:fillRect/>
                  </a:stretch>
                </pic:blipFill>
                <pic:spPr>
                  <a:xfrm>
                    <a:off x="0" y="0"/>
                    <a:ext cx="1111885" cy="672465"/>
                  </a:xfrm>
                  <a:prstGeom prst="rect">
                    <a:avLst/>
                  </a:prstGeom>
                </pic:spPr>
              </pic:pic>
            </a:graphicData>
          </a:graphic>
        </wp:anchor>
      </w:drawing>
    </w:r>
    <w:r w:rsidR="009029E5">
      <w:rPr>
        <w:noProof/>
        <w14:ligatures w14:val="standardContextual"/>
      </w:rPr>
      <w:drawing>
        <wp:anchor distT="0" distB="0" distL="114300" distR="114300" simplePos="0" relativeHeight="251658240" behindDoc="0" locked="0" layoutInCell="1" allowOverlap="1" wp14:anchorId="51D8B6BF" wp14:editId="34858A50">
          <wp:simplePos x="0" y="0"/>
          <wp:positionH relativeFrom="margin">
            <wp:align>left</wp:align>
          </wp:positionH>
          <wp:positionV relativeFrom="paragraph">
            <wp:posOffset>-212090</wp:posOffset>
          </wp:positionV>
          <wp:extent cx="695325" cy="738505"/>
          <wp:effectExtent l="0" t="0" r="9525" b="4445"/>
          <wp:wrapSquare wrapText="bothSides"/>
          <wp:docPr id="1447868755" name="Picture 1447868755" descr="A logo with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868755" name="Picture 1" descr="A logo with colorful circle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95325" cy="7385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A7D1D"/>
    <w:multiLevelType w:val="hybridMultilevel"/>
    <w:tmpl w:val="F29A8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41D7A62"/>
    <w:multiLevelType w:val="hybridMultilevel"/>
    <w:tmpl w:val="E95030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1E4EC4"/>
    <w:multiLevelType w:val="hybridMultilevel"/>
    <w:tmpl w:val="1B62E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867311F"/>
    <w:multiLevelType w:val="hybridMultilevel"/>
    <w:tmpl w:val="672675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31671476">
    <w:abstractNumId w:val="0"/>
  </w:num>
  <w:num w:numId="2" w16cid:durableId="1169835706">
    <w:abstractNumId w:val="1"/>
  </w:num>
  <w:num w:numId="3" w16cid:durableId="1373262442">
    <w:abstractNumId w:val="3"/>
  </w:num>
  <w:num w:numId="4" w16cid:durableId="1147553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059"/>
    <w:rsid w:val="00026973"/>
    <w:rsid w:val="000345AA"/>
    <w:rsid w:val="00054150"/>
    <w:rsid w:val="000652B6"/>
    <w:rsid w:val="00087981"/>
    <w:rsid w:val="000B2310"/>
    <w:rsid w:val="000B57CC"/>
    <w:rsid w:val="000B7A86"/>
    <w:rsid w:val="000C0F33"/>
    <w:rsid w:val="000C7B8F"/>
    <w:rsid w:val="000E0742"/>
    <w:rsid w:val="000F11C7"/>
    <w:rsid w:val="000F4A7A"/>
    <w:rsid w:val="000F60F2"/>
    <w:rsid w:val="000F6B88"/>
    <w:rsid w:val="0010070A"/>
    <w:rsid w:val="001107AB"/>
    <w:rsid w:val="00112753"/>
    <w:rsid w:val="0011715C"/>
    <w:rsid w:val="00120194"/>
    <w:rsid w:val="0012116D"/>
    <w:rsid w:val="00123563"/>
    <w:rsid w:val="00133D9B"/>
    <w:rsid w:val="001346D5"/>
    <w:rsid w:val="00134DDC"/>
    <w:rsid w:val="00144BBD"/>
    <w:rsid w:val="00150097"/>
    <w:rsid w:val="00153E28"/>
    <w:rsid w:val="00167CF9"/>
    <w:rsid w:val="00171D24"/>
    <w:rsid w:val="00184C37"/>
    <w:rsid w:val="00184E79"/>
    <w:rsid w:val="00187F06"/>
    <w:rsid w:val="00191B3C"/>
    <w:rsid w:val="00194766"/>
    <w:rsid w:val="001A16B0"/>
    <w:rsid w:val="001D7CBF"/>
    <w:rsid w:val="001E4547"/>
    <w:rsid w:val="00203288"/>
    <w:rsid w:val="002074E8"/>
    <w:rsid w:val="002118FE"/>
    <w:rsid w:val="00220B62"/>
    <w:rsid w:val="00221985"/>
    <w:rsid w:val="002224DC"/>
    <w:rsid w:val="00226271"/>
    <w:rsid w:val="00272511"/>
    <w:rsid w:val="00275C58"/>
    <w:rsid w:val="002A1EEB"/>
    <w:rsid w:val="002A7D5C"/>
    <w:rsid w:val="002B297D"/>
    <w:rsid w:val="002B6D2D"/>
    <w:rsid w:val="002C6BE2"/>
    <w:rsid w:val="002C6C15"/>
    <w:rsid w:val="002D321B"/>
    <w:rsid w:val="002D5039"/>
    <w:rsid w:val="002E33BB"/>
    <w:rsid w:val="002E401C"/>
    <w:rsid w:val="002E5059"/>
    <w:rsid w:val="002F5A6D"/>
    <w:rsid w:val="00301943"/>
    <w:rsid w:val="003026FC"/>
    <w:rsid w:val="003033DC"/>
    <w:rsid w:val="00306BF7"/>
    <w:rsid w:val="00315E34"/>
    <w:rsid w:val="00321D22"/>
    <w:rsid w:val="00323BF7"/>
    <w:rsid w:val="003378D7"/>
    <w:rsid w:val="00343315"/>
    <w:rsid w:val="003444B1"/>
    <w:rsid w:val="00347831"/>
    <w:rsid w:val="0036280D"/>
    <w:rsid w:val="00363878"/>
    <w:rsid w:val="0036521C"/>
    <w:rsid w:val="0037685D"/>
    <w:rsid w:val="0038625B"/>
    <w:rsid w:val="003A2BC6"/>
    <w:rsid w:val="003A3F98"/>
    <w:rsid w:val="003C5CEA"/>
    <w:rsid w:val="003D0414"/>
    <w:rsid w:val="003E0DEE"/>
    <w:rsid w:val="003F61AA"/>
    <w:rsid w:val="00401F43"/>
    <w:rsid w:val="004065B7"/>
    <w:rsid w:val="00417365"/>
    <w:rsid w:val="004213A8"/>
    <w:rsid w:val="00427EF2"/>
    <w:rsid w:val="00440D4C"/>
    <w:rsid w:val="00462B20"/>
    <w:rsid w:val="004641F7"/>
    <w:rsid w:val="004670C9"/>
    <w:rsid w:val="004670F8"/>
    <w:rsid w:val="00474819"/>
    <w:rsid w:val="00484B7B"/>
    <w:rsid w:val="00491D75"/>
    <w:rsid w:val="00492436"/>
    <w:rsid w:val="004A40D5"/>
    <w:rsid w:val="004B0761"/>
    <w:rsid w:val="0050667D"/>
    <w:rsid w:val="005138E1"/>
    <w:rsid w:val="0052551A"/>
    <w:rsid w:val="00531B75"/>
    <w:rsid w:val="00537F9E"/>
    <w:rsid w:val="00545646"/>
    <w:rsid w:val="005536FA"/>
    <w:rsid w:val="00560F94"/>
    <w:rsid w:val="00561C25"/>
    <w:rsid w:val="0057295B"/>
    <w:rsid w:val="00585947"/>
    <w:rsid w:val="00590C43"/>
    <w:rsid w:val="005924AD"/>
    <w:rsid w:val="00596C0A"/>
    <w:rsid w:val="00596DDC"/>
    <w:rsid w:val="005A560B"/>
    <w:rsid w:val="005B0D32"/>
    <w:rsid w:val="005B42B8"/>
    <w:rsid w:val="005B5E9A"/>
    <w:rsid w:val="005B67C6"/>
    <w:rsid w:val="005C0633"/>
    <w:rsid w:val="005D0820"/>
    <w:rsid w:val="005D1891"/>
    <w:rsid w:val="005D2B52"/>
    <w:rsid w:val="005F126F"/>
    <w:rsid w:val="005F19DE"/>
    <w:rsid w:val="005F2E04"/>
    <w:rsid w:val="00602520"/>
    <w:rsid w:val="0061731E"/>
    <w:rsid w:val="0062635B"/>
    <w:rsid w:val="00630BDF"/>
    <w:rsid w:val="006336C2"/>
    <w:rsid w:val="006365EA"/>
    <w:rsid w:val="00647B2F"/>
    <w:rsid w:val="00647F5D"/>
    <w:rsid w:val="006507FC"/>
    <w:rsid w:val="006709F7"/>
    <w:rsid w:val="006975D1"/>
    <w:rsid w:val="006A1969"/>
    <w:rsid w:val="006B0F33"/>
    <w:rsid w:val="006B6FCB"/>
    <w:rsid w:val="006C2090"/>
    <w:rsid w:val="006D11FB"/>
    <w:rsid w:val="006D794D"/>
    <w:rsid w:val="00705AFA"/>
    <w:rsid w:val="00725D60"/>
    <w:rsid w:val="00725F51"/>
    <w:rsid w:val="00731289"/>
    <w:rsid w:val="00732A75"/>
    <w:rsid w:val="00743055"/>
    <w:rsid w:val="007577D3"/>
    <w:rsid w:val="00782C74"/>
    <w:rsid w:val="00795675"/>
    <w:rsid w:val="007A42ED"/>
    <w:rsid w:val="007B129B"/>
    <w:rsid w:val="007B1453"/>
    <w:rsid w:val="007B326F"/>
    <w:rsid w:val="007C4BF9"/>
    <w:rsid w:val="007D67F8"/>
    <w:rsid w:val="007E2943"/>
    <w:rsid w:val="007F3FC4"/>
    <w:rsid w:val="007F500D"/>
    <w:rsid w:val="00801586"/>
    <w:rsid w:val="0081057B"/>
    <w:rsid w:val="008107A6"/>
    <w:rsid w:val="00830BB2"/>
    <w:rsid w:val="008323C9"/>
    <w:rsid w:val="0083728A"/>
    <w:rsid w:val="00884B91"/>
    <w:rsid w:val="00893BEE"/>
    <w:rsid w:val="008D206B"/>
    <w:rsid w:val="008E4588"/>
    <w:rsid w:val="008F0EB6"/>
    <w:rsid w:val="008F5206"/>
    <w:rsid w:val="008F59F6"/>
    <w:rsid w:val="009000D4"/>
    <w:rsid w:val="009029E5"/>
    <w:rsid w:val="00906BF5"/>
    <w:rsid w:val="00917743"/>
    <w:rsid w:val="009178B7"/>
    <w:rsid w:val="009223E4"/>
    <w:rsid w:val="00924426"/>
    <w:rsid w:val="009632BF"/>
    <w:rsid w:val="009656A7"/>
    <w:rsid w:val="00965FF2"/>
    <w:rsid w:val="00967F89"/>
    <w:rsid w:val="00971A7B"/>
    <w:rsid w:val="00974D1C"/>
    <w:rsid w:val="00981D14"/>
    <w:rsid w:val="00990E6B"/>
    <w:rsid w:val="009A0807"/>
    <w:rsid w:val="009B7141"/>
    <w:rsid w:val="009C7413"/>
    <w:rsid w:val="009D33CF"/>
    <w:rsid w:val="009E78FF"/>
    <w:rsid w:val="009F04F8"/>
    <w:rsid w:val="00A01B01"/>
    <w:rsid w:val="00A04533"/>
    <w:rsid w:val="00A10BEC"/>
    <w:rsid w:val="00A114DF"/>
    <w:rsid w:val="00A1554B"/>
    <w:rsid w:val="00A16813"/>
    <w:rsid w:val="00A27577"/>
    <w:rsid w:val="00A305AC"/>
    <w:rsid w:val="00A33EF8"/>
    <w:rsid w:val="00A369B1"/>
    <w:rsid w:val="00A45513"/>
    <w:rsid w:val="00A535C2"/>
    <w:rsid w:val="00A7153B"/>
    <w:rsid w:val="00A94621"/>
    <w:rsid w:val="00AA1E39"/>
    <w:rsid w:val="00AA4909"/>
    <w:rsid w:val="00AB2A55"/>
    <w:rsid w:val="00AB704F"/>
    <w:rsid w:val="00AD3FF5"/>
    <w:rsid w:val="00AE572A"/>
    <w:rsid w:val="00B17317"/>
    <w:rsid w:val="00B21AC5"/>
    <w:rsid w:val="00B47609"/>
    <w:rsid w:val="00B51088"/>
    <w:rsid w:val="00B52BCF"/>
    <w:rsid w:val="00B7537F"/>
    <w:rsid w:val="00B84FBC"/>
    <w:rsid w:val="00B91D28"/>
    <w:rsid w:val="00B95891"/>
    <w:rsid w:val="00BA03FA"/>
    <w:rsid w:val="00BA0579"/>
    <w:rsid w:val="00BA6DC9"/>
    <w:rsid w:val="00BA7B98"/>
    <w:rsid w:val="00BB6E26"/>
    <w:rsid w:val="00BC1B33"/>
    <w:rsid w:val="00BC35B9"/>
    <w:rsid w:val="00BD1866"/>
    <w:rsid w:val="00BD5A1C"/>
    <w:rsid w:val="00BD72AD"/>
    <w:rsid w:val="00BE304D"/>
    <w:rsid w:val="00BF0CEA"/>
    <w:rsid w:val="00BF7C69"/>
    <w:rsid w:val="00C27D78"/>
    <w:rsid w:val="00C36341"/>
    <w:rsid w:val="00C372F0"/>
    <w:rsid w:val="00C47793"/>
    <w:rsid w:val="00C55405"/>
    <w:rsid w:val="00C60815"/>
    <w:rsid w:val="00C9181E"/>
    <w:rsid w:val="00C97892"/>
    <w:rsid w:val="00CD6F7F"/>
    <w:rsid w:val="00CD71E5"/>
    <w:rsid w:val="00CF27E4"/>
    <w:rsid w:val="00CF3D04"/>
    <w:rsid w:val="00CF4B5D"/>
    <w:rsid w:val="00D10F79"/>
    <w:rsid w:val="00D129EA"/>
    <w:rsid w:val="00D20B35"/>
    <w:rsid w:val="00D575AC"/>
    <w:rsid w:val="00D96360"/>
    <w:rsid w:val="00DA0546"/>
    <w:rsid w:val="00DE4851"/>
    <w:rsid w:val="00DE4AE9"/>
    <w:rsid w:val="00E05AED"/>
    <w:rsid w:val="00E47331"/>
    <w:rsid w:val="00E575D7"/>
    <w:rsid w:val="00E679CD"/>
    <w:rsid w:val="00E924CE"/>
    <w:rsid w:val="00EB067C"/>
    <w:rsid w:val="00EB7D35"/>
    <w:rsid w:val="00ED4AFD"/>
    <w:rsid w:val="00F100F5"/>
    <w:rsid w:val="00F10B31"/>
    <w:rsid w:val="00F222AF"/>
    <w:rsid w:val="00F23DAA"/>
    <w:rsid w:val="00F30629"/>
    <w:rsid w:val="00F31742"/>
    <w:rsid w:val="00F35269"/>
    <w:rsid w:val="00F52D80"/>
    <w:rsid w:val="00F5688A"/>
    <w:rsid w:val="00F6316F"/>
    <w:rsid w:val="00F717D4"/>
    <w:rsid w:val="00F86980"/>
    <w:rsid w:val="00F87DD6"/>
    <w:rsid w:val="00F97FD7"/>
    <w:rsid w:val="00FB0532"/>
    <w:rsid w:val="00FE56D6"/>
    <w:rsid w:val="00FF157E"/>
    <w:rsid w:val="00FF4F15"/>
    <w:rsid w:val="00FF5DB0"/>
    <w:rsid w:val="03CF4151"/>
    <w:rsid w:val="04F5EAA8"/>
    <w:rsid w:val="07E5716C"/>
    <w:rsid w:val="0A8C7CD7"/>
    <w:rsid w:val="149406C7"/>
    <w:rsid w:val="19A9E3AA"/>
    <w:rsid w:val="19AD2096"/>
    <w:rsid w:val="2A035C90"/>
    <w:rsid w:val="2B29020B"/>
    <w:rsid w:val="349B8887"/>
    <w:rsid w:val="3555FD7F"/>
    <w:rsid w:val="36B6FE4E"/>
    <w:rsid w:val="3A419424"/>
    <w:rsid w:val="46F03045"/>
    <w:rsid w:val="502DBA26"/>
    <w:rsid w:val="5C68FF28"/>
    <w:rsid w:val="60BDA4D7"/>
    <w:rsid w:val="65B18A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07BF9"/>
  <w15:chartTrackingRefBased/>
  <w15:docId w15:val="{2DF77214-253D-4695-86D9-C288C0DA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059"/>
    <w:rPr>
      <w:kern w:val="0"/>
      <w14:ligatures w14:val="none"/>
    </w:rPr>
  </w:style>
  <w:style w:type="paragraph" w:styleId="Heading1">
    <w:name w:val="heading 1"/>
    <w:basedOn w:val="Normal"/>
    <w:next w:val="Normal"/>
    <w:link w:val="Heading1Char"/>
    <w:uiPriority w:val="9"/>
    <w:qFormat/>
    <w:rsid w:val="002E50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50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50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50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50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50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0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0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0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0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50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50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50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50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5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059"/>
    <w:rPr>
      <w:rFonts w:eastAsiaTheme="majorEastAsia" w:cstheme="majorBidi"/>
      <w:color w:val="272727" w:themeColor="text1" w:themeTint="D8"/>
    </w:rPr>
  </w:style>
  <w:style w:type="paragraph" w:styleId="Title">
    <w:name w:val="Title"/>
    <w:basedOn w:val="Normal"/>
    <w:next w:val="Normal"/>
    <w:link w:val="TitleChar"/>
    <w:uiPriority w:val="10"/>
    <w:qFormat/>
    <w:rsid w:val="002E5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0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059"/>
    <w:pPr>
      <w:spacing w:before="160"/>
      <w:jc w:val="center"/>
    </w:pPr>
    <w:rPr>
      <w:i/>
      <w:iCs/>
      <w:color w:val="404040" w:themeColor="text1" w:themeTint="BF"/>
    </w:rPr>
  </w:style>
  <w:style w:type="character" w:customStyle="1" w:styleId="QuoteChar">
    <w:name w:val="Quote Char"/>
    <w:basedOn w:val="DefaultParagraphFont"/>
    <w:link w:val="Quote"/>
    <w:uiPriority w:val="29"/>
    <w:rsid w:val="002E5059"/>
    <w:rPr>
      <w:i/>
      <w:iCs/>
      <w:color w:val="404040" w:themeColor="text1" w:themeTint="BF"/>
    </w:rPr>
  </w:style>
  <w:style w:type="paragraph" w:styleId="ListParagraph">
    <w:name w:val="List Paragraph"/>
    <w:basedOn w:val="Normal"/>
    <w:uiPriority w:val="34"/>
    <w:qFormat/>
    <w:rsid w:val="002E5059"/>
    <w:pPr>
      <w:ind w:left="720"/>
      <w:contextualSpacing/>
    </w:pPr>
  </w:style>
  <w:style w:type="character" w:styleId="IntenseEmphasis">
    <w:name w:val="Intense Emphasis"/>
    <w:basedOn w:val="DefaultParagraphFont"/>
    <w:uiPriority w:val="21"/>
    <w:qFormat/>
    <w:rsid w:val="002E5059"/>
    <w:rPr>
      <w:i/>
      <w:iCs/>
      <w:color w:val="2F5496" w:themeColor="accent1" w:themeShade="BF"/>
    </w:rPr>
  </w:style>
  <w:style w:type="paragraph" w:styleId="IntenseQuote">
    <w:name w:val="Intense Quote"/>
    <w:basedOn w:val="Normal"/>
    <w:next w:val="Normal"/>
    <w:link w:val="IntenseQuoteChar"/>
    <w:uiPriority w:val="30"/>
    <w:qFormat/>
    <w:rsid w:val="002E50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5059"/>
    <w:rPr>
      <w:i/>
      <w:iCs/>
      <w:color w:val="2F5496" w:themeColor="accent1" w:themeShade="BF"/>
    </w:rPr>
  </w:style>
  <w:style w:type="character" w:styleId="IntenseReference">
    <w:name w:val="Intense Reference"/>
    <w:basedOn w:val="DefaultParagraphFont"/>
    <w:uiPriority w:val="32"/>
    <w:qFormat/>
    <w:rsid w:val="002E5059"/>
    <w:rPr>
      <w:b/>
      <w:bCs/>
      <w:smallCaps/>
      <w:color w:val="2F5496" w:themeColor="accent1" w:themeShade="BF"/>
      <w:spacing w:val="5"/>
    </w:rPr>
  </w:style>
  <w:style w:type="table" w:styleId="TableGrid">
    <w:name w:val="Table Grid"/>
    <w:basedOn w:val="TableNormal"/>
    <w:uiPriority w:val="39"/>
    <w:rsid w:val="002E50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5059"/>
    <w:pPr>
      <w:spacing w:after="0" w:line="240" w:lineRule="auto"/>
    </w:pPr>
    <w:rPr>
      <w:kern w:val="0"/>
      <w14:ligatures w14:val="none"/>
    </w:rPr>
  </w:style>
  <w:style w:type="character" w:styleId="Hyperlink">
    <w:name w:val="Hyperlink"/>
    <w:basedOn w:val="DefaultParagraphFont"/>
    <w:uiPriority w:val="99"/>
    <w:unhideWhenUsed/>
    <w:rsid w:val="002E5059"/>
    <w:rPr>
      <w:color w:val="0000FF"/>
      <w:u w:val="single"/>
    </w:rPr>
  </w:style>
  <w:style w:type="paragraph" w:styleId="Header">
    <w:name w:val="header"/>
    <w:basedOn w:val="Normal"/>
    <w:link w:val="HeaderChar"/>
    <w:uiPriority w:val="99"/>
    <w:unhideWhenUsed/>
    <w:rsid w:val="002E50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059"/>
    <w:rPr>
      <w:kern w:val="0"/>
      <w14:ligatures w14:val="none"/>
    </w:rPr>
  </w:style>
  <w:style w:type="character" w:styleId="UnresolvedMention">
    <w:name w:val="Unresolved Mention"/>
    <w:basedOn w:val="DefaultParagraphFont"/>
    <w:uiPriority w:val="99"/>
    <w:semiHidden/>
    <w:unhideWhenUsed/>
    <w:rsid w:val="00531B75"/>
    <w:rPr>
      <w:color w:val="605E5C"/>
      <w:shd w:val="clear" w:color="auto" w:fill="E1DFDD"/>
    </w:rPr>
  </w:style>
  <w:style w:type="character" w:styleId="FollowedHyperlink">
    <w:name w:val="FollowedHyperlink"/>
    <w:basedOn w:val="DefaultParagraphFont"/>
    <w:uiPriority w:val="99"/>
    <w:semiHidden/>
    <w:unhideWhenUsed/>
    <w:rsid w:val="003378D7"/>
    <w:rPr>
      <w:color w:val="954F72" w:themeColor="followedHyperlink"/>
      <w:u w:val="single"/>
    </w:rPr>
  </w:style>
  <w:style w:type="paragraph" w:styleId="Footer">
    <w:name w:val="footer"/>
    <w:basedOn w:val="Normal"/>
    <w:link w:val="FooterChar"/>
    <w:uiPriority w:val="99"/>
    <w:unhideWhenUsed/>
    <w:rsid w:val="003026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6FC"/>
    <w:rPr>
      <w:kern w:val="0"/>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029E5"/>
    <w:pPr>
      <w:spacing w:after="0" w:line="240" w:lineRule="auto"/>
    </w:pPr>
    <w:rPr>
      <w:kern w:val="0"/>
      <w14:ligatures w14:val="none"/>
    </w:rPr>
  </w:style>
  <w:style w:type="paragraph" w:styleId="NormalWeb">
    <w:name w:val="Normal (Web)"/>
    <w:basedOn w:val="Normal"/>
    <w:uiPriority w:val="99"/>
    <w:unhideWhenUsed/>
    <w:rsid w:val="00630BD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379853">
      <w:bodyDiv w:val="1"/>
      <w:marLeft w:val="0"/>
      <w:marRight w:val="0"/>
      <w:marTop w:val="0"/>
      <w:marBottom w:val="0"/>
      <w:divBdr>
        <w:top w:val="none" w:sz="0" w:space="0" w:color="auto"/>
        <w:left w:val="none" w:sz="0" w:space="0" w:color="auto"/>
        <w:bottom w:val="none" w:sz="0" w:space="0" w:color="auto"/>
        <w:right w:val="none" w:sz="0" w:space="0" w:color="auto"/>
      </w:divBdr>
    </w:div>
    <w:div w:id="188359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ies.org/resources/interweaving-discipline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0CBEE1702AD04E9E39FB20318EB1B8" ma:contentTypeVersion="19" ma:contentTypeDescription="Create a new document." ma:contentTypeScope="" ma:versionID="da4233644afb6c1d306538e1aed541a4">
  <xsd:schema xmlns:xsd="http://www.w3.org/2001/XMLSchema" xmlns:xs="http://www.w3.org/2001/XMLSchema" xmlns:p="http://schemas.microsoft.com/office/2006/metadata/properties" xmlns:ns2="af2531c7-eb33-48be-9889-ee787ffa7851" xmlns:ns3="36d7926d-c934-413c-9e6d-038f771d3aae" targetNamespace="http://schemas.microsoft.com/office/2006/metadata/properties" ma:root="true" ma:fieldsID="41ce95862d9e0cf86219e6cfa204a102" ns2:_="" ns3:_="">
    <xsd:import namespace="af2531c7-eb33-48be-9889-ee787ffa7851"/>
    <xsd:import namespace="36d7926d-c934-413c-9e6d-038f771d3a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531c7-eb33-48be-9889-ee787ffa7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6fb1273-ba6e-4f62-97de-97f23fcf3c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d7926d-c934-413c-9e6d-038f771d3a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7845a0-c36c-4b7a-8df5-0d2d7e2599f0}" ma:internalName="TaxCatchAll" ma:showField="CatchAllData" ma:web="36d7926d-c934-413c-9e6d-038f771d3a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2531c7-eb33-48be-9889-ee787ffa7851">
      <Terms xmlns="http://schemas.microsoft.com/office/infopath/2007/PartnerControls"/>
    </lcf76f155ced4ddcb4097134ff3c332f>
    <TaxCatchAll xmlns="36d7926d-c934-413c-9e6d-038f771d3a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B16971-C8E5-4C0E-9BA2-03213AD0F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531c7-eb33-48be-9889-ee787ffa7851"/>
    <ds:schemaRef ds:uri="36d7926d-c934-413c-9e6d-038f771d3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C887F2-00B6-4576-BA7C-1852054F2347}">
  <ds:schemaRefs>
    <ds:schemaRef ds:uri="http://schemas.microsoft.com/office/2006/metadata/properties"/>
    <ds:schemaRef ds:uri="http://schemas.microsoft.com/office/infopath/2007/PartnerControls"/>
    <ds:schemaRef ds:uri="af2531c7-eb33-48be-9889-ee787ffa7851"/>
    <ds:schemaRef ds:uri="36d7926d-c934-413c-9e6d-038f771d3aae"/>
  </ds:schemaRefs>
</ds:datastoreItem>
</file>

<file path=customXml/itemProps3.xml><?xml version="1.0" encoding="utf-8"?>
<ds:datastoreItem xmlns:ds="http://schemas.openxmlformats.org/officeDocument/2006/customXml" ds:itemID="{A542A527-F327-42C6-BFE9-732C5D68C5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802</Words>
  <Characters>4576</Characters>
  <Application>Microsoft Office Word</Application>
  <DocSecurity>0</DocSecurity>
  <Lines>38</Lines>
  <Paragraphs>10</Paragraphs>
  <ScaleCrop>false</ScaleCrop>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Rowland</dc:creator>
  <cp:keywords/>
  <dc:description/>
  <cp:lastModifiedBy>Lucy Rowland</cp:lastModifiedBy>
  <cp:revision>27</cp:revision>
  <dcterms:created xsi:type="dcterms:W3CDTF">2025-10-09T14:11:00Z</dcterms:created>
  <dcterms:modified xsi:type="dcterms:W3CDTF">2026-01-05T14:09:00Z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0x010100D50CBEE1702AD04E9E39FB20318EB1B8</vt:lpwstr>
  </property>
  <property fmtid="{D5CDD505-2E9C-101B-9397-08002B2CF9AE}" pid="3" name="MediaServiceImageTags">
    <vt:lpwstr/>
  </property>
</Properties>
</file>