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0C48" w14:textId="77777777" w:rsidR="005F19DE" w:rsidRDefault="002E5059" w:rsidP="002E5059">
      <w:pPr>
        <w:jc w:val="center"/>
        <w:rPr>
          <w:rFonts w:ascii="Newzald Book" w:hAnsi="Newzald Book"/>
          <w:b/>
          <w:bCs/>
          <w:i/>
          <w:iCs/>
          <w:color w:val="1A1730"/>
          <w:sz w:val="28"/>
          <w:szCs w:val="28"/>
        </w:rPr>
      </w:pPr>
      <w:r w:rsidRPr="00DE4AE9">
        <w:rPr>
          <w:rFonts w:ascii="Newzald Book" w:hAnsi="Newzald Book"/>
          <w:b/>
          <w:bCs/>
          <w:i/>
          <w:iCs/>
          <w:color w:val="1A1730"/>
          <w:sz w:val="28"/>
          <w:szCs w:val="28"/>
        </w:rPr>
        <w:softHyphen/>
      </w:r>
      <w:r w:rsidRPr="00DE4AE9">
        <w:rPr>
          <w:rFonts w:ascii="Newzald Book" w:hAnsi="Newzald Book"/>
          <w:b/>
          <w:bCs/>
          <w:i/>
          <w:iCs/>
          <w:color w:val="1A1730"/>
          <w:sz w:val="28"/>
          <w:szCs w:val="28"/>
        </w:rPr>
        <w:softHyphen/>
      </w:r>
      <w:r w:rsidRPr="00DE4AE9">
        <w:rPr>
          <w:rFonts w:ascii="Newzald Book" w:hAnsi="Newzald Book"/>
          <w:b/>
          <w:bCs/>
          <w:i/>
          <w:iCs/>
          <w:color w:val="1A1730"/>
          <w:sz w:val="28"/>
          <w:szCs w:val="28"/>
        </w:rPr>
        <w:softHyphen/>
      </w:r>
    </w:p>
    <w:p w14:paraId="23ED5A70" w14:textId="39F60315" w:rsidR="002E5059" w:rsidRPr="00DE4AE9" w:rsidRDefault="002E5059" w:rsidP="002E5059">
      <w:pPr>
        <w:jc w:val="center"/>
        <w:rPr>
          <w:rFonts w:ascii="Newzald Book" w:hAnsi="Newzald Book"/>
          <w:b/>
          <w:bCs/>
          <w:color w:val="1A1730"/>
          <w:sz w:val="28"/>
          <w:szCs w:val="28"/>
        </w:rPr>
      </w:pPr>
      <w:r w:rsidRPr="00DE4AE9">
        <w:rPr>
          <w:rFonts w:ascii="Newzald Book" w:hAnsi="Newzald Book"/>
          <w:b/>
          <w:bCs/>
          <w:i/>
          <w:iCs/>
          <w:color w:val="1A1730"/>
          <w:sz w:val="28"/>
          <w:szCs w:val="28"/>
        </w:rPr>
        <w:t xml:space="preserve">environmental </w:t>
      </w:r>
      <w:proofErr w:type="gramStart"/>
      <w:r w:rsidRPr="00DE4AE9">
        <w:rPr>
          <w:rFonts w:ascii="Newzald Book" w:hAnsi="Newzald Book"/>
          <w:b/>
          <w:bCs/>
          <w:i/>
          <w:iCs/>
          <w:color w:val="1A1730"/>
          <w:sz w:val="28"/>
          <w:szCs w:val="28"/>
        </w:rPr>
        <w:t>SCIENTIST</w:t>
      </w:r>
      <w:r w:rsidR="00167CF9">
        <w:rPr>
          <w:rFonts w:ascii="Newzald Book" w:hAnsi="Newzald Book"/>
          <w:b/>
          <w:bCs/>
          <w:i/>
          <w:iCs/>
          <w:color w:val="1A1730"/>
          <w:sz w:val="28"/>
          <w:szCs w:val="28"/>
        </w:rPr>
        <w:t xml:space="preserve"> </w:t>
      </w:r>
      <w:r w:rsidRPr="00DE4AE9">
        <w:rPr>
          <w:rFonts w:ascii="Newzald Book" w:hAnsi="Newzald Book"/>
          <w:b/>
          <w:bCs/>
          <w:color w:val="1A1730"/>
          <w:sz w:val="28"/>
          <w:szCs w:val="28"/>
        </w:rPr>
        <w:t xml:space="preserve"> journal</w:t>
      </w:r>
      <w:proofErr w:type="gramEnd"/>
      <w:r w:rsidRPr="00DE4AE9">
        <w:rPr>
          <w:rFonts w:ascii="Newzald Book" w:hAnsi="Newzald Book"/>
          <w:b/>
          <w:bCs/>
          <w:color w:val="1A1730"/>
          <w:sz w:val="28"/>
          <w:szCs w:val="28"/>
        </w:rPr>
        <w:t>: Learning Resource Notes</w:t>
      </w:r>
    </w:p>
    <w:p w14:paraId="63B3538D" w14:textId="77777777" w:rsidR="002E5059" w:rsidRPr="00630BDF" w:rsidRDefault="002E5059" w:rsidP="002E5059">
      <w:pPr>
        <w:pStyle w:val="NoSpacing"/>
        <w:jc w:val="both"/>
        <w:rPr>
          <w:rFonts w:ascii="Work Sans" w:hAnsi="Work Sans"/>
        </w:rPr>
      </w:pPr>
      <w:r w:rsidRPr="00630BDF">
        <w:rPr>
          <w:rFonts w:ascii="Work Sans" w:hAnsi="Work Sans"/>
        </w:rPr>
        <w:t xml:space="preserve">The purpose of these educational resource notes is to provide a format for informal, seminar-style discussions of the topics explored in the latest edition of the journal of the Institution of Environmental Sciences. </w:t>
      </w:r>
    </w:p>
    <w:p w14:paraId="71993265" w14:textId="77777777" w:rsidR="002E5059" w:rsidRPr="00630BDF" w:rsidRDefault="002E5059" w:rsidP="002E5059">
      <w:pPr>
        <w:pStyle w:val="NoSpacing"/>
        <w:jc w:val="both"/>
        <w:rPr>
          <w:rFonts w:ascii="Work Sans" w:hAnsi="Work Sans"/>
        </w:rPr>
      </w:pPr>
      <w:r w:rsidRPr="00630BDF">
        <w:rPr>
          <w:rFonts w:ascii="Work Sans" w:hAnsi="Work Sans"/>
        </w:rPr>
        <w:t xml:space="preserve"> </w:t>
      </w:r>
    </w:p>
    <w:p w14:paraId="1D2F354B" w14:textId="77777777" w:rsidR="002E5059" w:rsidRPr="00630BDF" w:rsidRDefault="002E5059" w:rsidP="002E5059">
      <w:pPr>
        <w:pStyle w:val="NoSpacing"/>
        <w:jc w:val="both"/>
        <w:rPr>
          <w:rFonts w:ascii="Work Sans" w:hAnsi="Work Sans"/>
        </w:rPr>
      </w:pPr>
      <w:r w:rsidRPr="00630BDF">
        <w:rPr>
          <w:rFonts w:ascii="Work Sans" w:hAnsi="Work Sans"/>
        </w:rPr>
        <w:t>Through discussion of the ideas and issues presented within the journal, they aim to supplement and enhance students’ knowledge and understanding of a broad range of environmental science issues and provide insights into the professional concerns of practising environmental scientists.</w:t>
      </w:r>
    </w:p>
    <w:p w14:paraId="371C479A" w14:textId="77777777" w:rsidR="002E5059" w:rsidRPr="00630BDF" w:rsidRDefault="002E5059" w:rsidP="002E5059">
      <w:pPr>
        <w:pStyle w:val="NoSpacing"/>
        <w:rPr>
          <w:rFonts w:ascii="Work Sans" w:hAnsi="Work Sans"/>
          <w:b/>
          <w:bCs/>
        </w:rPr>
      </w:pPr>
    </w:p>
    <w:p w14:paraId="52F3B21D" w14:textId="77777777" w:rsidR="002E5059" w:rsidRPr="00630BDF" w:rsidRDefault="002E5059" w:rsidP="002E5059">
      <w:pPr>
        <w:pStyle w:val="NoSpacing"/>
        <w:rPr>
          <w:rFonts w:ascii="Work Sans" w:hAnsi="Work Sans"/>
          <w:b/>
          <w:bCs/>
        </w:rPr>
      </w:pPr>
      <w:r w:rsidRPr="00630BDF">
        <w:rPr>
          <w:rFonts w:ascii="Work Sans" w:hAnsi="Work Sans"/>
          <w:b/>
          <w:bCs/>
        </w:rPr>
        <w:t xml:space="preserve">Articles in focus </w:t>
      </w:r>
    </w:p>
    <w:p w14:paraId="6A04F433" w14:textId="77777777" w:rsidR="002E5059" w:rsidRPr="00630BDF" w:rsidRDefault="002E5059" w:rsidP="002E5059">
      <w:pPr>
        <w:pStyle w:val="NoSpacing"/>
        <w:jc w:val="both"/>
        <w:rPr>
          <w:rFonts w:ascii="Work Sans" w:hAnsi="Work Sans"/>
          <w:color w:val="000000"/>
        </w:rPr>
      </w:pPr>
      <w:r w:rsidRPr="00630BDF">
        <w:rPr>
          <w:rFonts w:ascii="Work Sans" w:hAnsi="Work Sans"/>
        </w:rPr>
        <w:t>The below articles have been selected as particularly relevant for in-depth discussion, allowing for wider debate of the key elements of the article topic. S</w:t>
      </w:r>
      <w:r w:rsidRPr="00630BDF">
        <w:rPr>
          <w:rFonts w:ascii="Work Sans" w:hAnsi="Work Sans"/>
          <w:color w:val="000000"/>
        </w:rPr>
        <w:t xml:space="preserve">ome </w:t>
      </w:r>
      <w:r w:rsidRPr="00630BDF">
        <w:rPr>
          <w:rFonts w:ascii="Work Sans" w:hAnsi="Work Sans"/>
        </w:rPr>
        <w:t>specific</w:t>
      </w:r>
      <w:r w:rsidRPr="00630BDF">
        <w:rPr>
          <w:rFonts w:ascii="Work Sans" w:hAnsi="Work Sans"/>
          <w:color w:val="000000"/>
        </w:rPr>
        <w:t xml:space="preserve"> questions you may </w:t>
      </w:r>
      <w:r w:rsidRPr="00630BDF">
        <w:rPr>
          <w:rFonts w:ascii="Work Sans" w:hAnsi="Work Sans"/>
        </w:rPr>
        <w:t>wish</w:t>
      </w:r>
      <w:r w:rsidRPr="00630BDF">
        <w:rPr>
          <w:rFonts w:ascii="Work Sans" w:hAnsi="Work Sans"/>
          <w:color w:val="000000"/>
        </w:rPr>
        <w:t xml:space="preserve"> to consider when reading and discussing </w:t>
      </w:r>
      <w:r w:rsidRPr="00630BDF">
        <w:rPr>
          <w:rFonts w:ascii="Work Sans" w:hAnsi="Work Sans"/>
        </w:rPr>
        <w:t xml:space="preserve">these </w:t>
      </w:r>
      <w:r w:rsidRPr="00630BDF">
        <w:rPr>
          <w:rFonts w:ascii="Work Sans" w:hAnsi="Work Sans"/>
          <w:color w:val="000000"/>
        </w:rPr>
        <w:t>articles </w:t>
      </w:r>
      <w:r w:rsidRPr="00630BDF">
        <w:rPr>
          <w:rFonts w:ascii="Work Sans" w:hAnsi="Work Sans"/>
        </w:rPr>
        <w:t>are outlined.</w:t>
      </w:r>
      <w:r w:rsidRPr="00630BDF">
        <w:rPr>
          <w:rFonts w:ascii="Work Sans" w:hAnsi="Work Sans"/>
          <w:color w:val="000000"/>
        </w:rPr>
        <w:t xml:space="preserve"> </w:t>
      </w:r>
    </w:p>
    <w:p w14:paraId="716FFD7A" w14:textId="77777777" w:rsidR="002E5059" w:rsidRPr="00630BDF" w:rsidRDefault="002E5059" w:rsidP="002E5059">
      <w:pPr>
        <w:pStyle w:val="NoSpacing"/>
        <w:jc w:val="both"/>
        <w:rPr>
          <w:rFonts w:ascii="Work Sans" w:hAnsi="Work Sans"/>
          <w:color w:val="000000"/>
        </w:rPr>
      </w:pPr>
    </w:p>
    <w:p w14:paraId="705C29F4" w14:textId="77777777" w:rsidR="002E5059" w:rsidRPr="00630BDF" w:rsidRDefault="002E5059" w:rsidP="002E5059">
      <w:pPr>
        <w:pStyle w:val="NoSpacing"/>
        <w:rPr>
          <w:rFonts w:ascii="Work Sans" w:hAnsi="Work Sans"/>
        </w:rPr>
      </w:pPr>
    </w:p>
    <w:tbl>
      <w:tblPr>
        <w:tblStyle w:val="TableGrid"/>
        <w:tblW w:w="9498" w:type="dxa"/>
        <w:tblInd w:w="-5" w:type="dxa"/>
        <w:tblLook w:val="04A0" w:firstRow="1" w:lastRow="0" w:firstColumn="1" w:lastColumn="0" w:noHBand="0" w:noVBand="1"/>
      </w:tblPr>
      <w:tblGrid>
        <w:gridCol w:w="1696"/>
        <w:gridCol w:w="7802"/>
      </w:tblGrid>
      <w:tr w:rsidR="002E5059" w:rsidRPr="00630BDF" w14:paraId="465DCF73" w14:textId="77777777" w:rsidTr="00D96360">
        <w:trPr>
          <w:trHeight w:val="1375"/>
        </w:trPr>
        <w:tc>
          <w:tcPr>
            <w:tcW w:w="1696" w:type="dxa"/>
            <w:shd w:val="clear" w:color="auto" w:fill="D9D9D9" w:themeFill="background1" w:themeFillShade="D9"/>
            <w:vAlign w:val="center"/>
          </w:tcPr>
          <w:p w14:paraId="1AC26091" w14:textId="77777777" w:rsidR="002E5059" w:rsidRPr="00630BDF" w:rsidRDefault="002E5059" w:rsidP="00D96360">
            <w:pPr>
              <w:rPr>
                <w:rFonts w:ascii="Work Sans" w:hAnsi="Work Sans"/>
              </w:rPr>
            </w:pPr>
            <w:r w:rsidRPr="00630BDF">
              <w:rPr>
                <w:rFonts w:ascii="Work Sans" w:hAnsi="Work Sans"/>
              </w:rPr>
              <w:t>Learning outcomes</w:t>
            </w:r>
          </w:p>
        </w:tc>
        <w:tc>
          <w:tcPr>
            <w:tcW w:w="7802" w:type="dxa"/>
            <w:vAlign w:val="center"/>
          </w:tcPr>
          <w:p w14:paraId="2DFF55F2" w14:textId="1D5F11C1" w:rsidR="002E5059" w:rsidRPr="00630BDF" w:rsidRDefault="002E5059" w:rsidP="00D96360">
            <w:pPr>
              <w:pStyle w:val="ListParagraph"/>
              <w:numPr>
                <w:ilvl w:val="0"/>
                <w:numId w:val="1"/>
              </w:numPr>
              <w:rPr>
                <w:rFonts w:ascii="Work Sans" w:hAnsi="Work Sans"/>
              </w:rPr>
            </w:pPr>
            <w:r w:rsidRPr="00630BDF">
              <w:rPr>
                <w:rFonts w:ascii="Work Sans" w:hAnsi="Work Sans"/>
              </w:rPr>
              <w:t xml:space="preserve">Understand the main </w:t>
            </w:r>
            <w:r w:rsidR="00990E6B" w:rsidRPr="00630BDF">
              <w:rPr>
                <w:rFonts w:ascii="Work Sans" w:hAnsi="Work Sans"/>
              </w:rPr>
              <w:t>concepts and challenges</w:t>
            </w:r>
            <w:r w:rsidRPr="00630BDF">
              <w:rPr>
                <w:rFonts w:ascii="Work Sans" w:hAnsi="Work Sans"/>
              </w:rPr>
              <w:t xml:space="preserve"> discussed in the </w:t>
            </w:r>
            <w:r w:rsidR="005D0820" w:rsidRPr="00630BDF">
              <w:rPr>
                <w:rFonts w:ascii="Work Sans" w:hAnsi="Work Sans"/>
              </w:rPr>
              <w:t>edition</w:t>
            </w:r>
          </w:p>
          <w:p w14:paraId="3790F264" w14:textId="5EC8EBE4" w:rsidR="002E5059" w:rsidRPr="00630BDF" w:rsidRDefault="002E5059" w:rsidP="00D96360">
            <w:pPr>
              <w:pStyle w:val="ListParagraph"/>
              <w:numPr>
                <w:ilvl w:val="0"/>
                <w:numId w:val="1"/>
              </w:numPr>
              <w:rPr>
                <w:rFonts w:ascii="Work Sans" w:hAnsi="Work Sans"/>
              </w:rPr>
            </w:pPr>
            <w:r w:rsidRPr="00630BDF">
              <w:rPr>
                <w:rFonts w:ascii="Work Sans" w:hAnsi="Work Sans"/>
              </w:rPr>
              <w:t xml:space="preserve">Describe the </w:t>
            </w:r>
            <w:r w:rsidR="00990E6B" w:rsidRPr="00630BDF">
              <w:rPr>
                <w:rFonts w:ascii="Work Sans" w:hAnsi="Work Sans"/>
              </w:rPr>
              <w:t xml:space="preserve">conclusions reached by authors, </w:t>
            </w:r>
            <w:r w:rsidRPr="00630BDF">
              <w:rPr>
                <w:rFonts w:ascii="Work Sans" w:hAnsi="Work Sans"/>
              </w:rPr>
              <w:t xml:space="preserve">and </w:t>
            </w:r>
            <w:r w:rsidR="00990E6B" w:rsidRPr="00630BDF">
              <w:rPr>
                <w:rFonts w:ascii="Work Sans" w:hAnsi="Work Sans"/>
              </w:rPr>
              <w:t xml:space="preserve">identify </w:t>
            </w:r>
            <w:r w:rsidRPr="00630BDF">
              <w:rPr>
                <w:rFonts w:ascii="Work Sans" w:hAnsi="Work Sans"/>
              </w:rPr>
              <w:t>their relevance to the environmental science sector</w:t>
            </w:r>
          </w:p>
          <w:p w14:paraId="4EAFB920" w14:textId="534A537F" w:rsidR="002E5059" w:rsidRPr="00630BDF" w:rsidRDefault="002E5059" w:rsidP="00D96360">
            <w:pPr>
              <w:pStyle w:val="ListParagraph"/>
              <w:numPr>
                <w:ilvl w:val="0"/>
                <w:numId w:val="1"/>
              </w:numPr>
              <w:rPr>
                <w:rFonts w:ascii="Work Sans" w:hAnsi="Work Sans"/>
              </w:rPr>
            </w:pPr>
            <w:r w:rsidRPr="00630BDF">
              <w:rPr>
                <w:rFonts w:ascii="Work Sans" w:hAnsi="Work Sans"/>
              </w:rPr>
              <w:t xml:space="preserve">Critically reflect on the </w:t>
            </w:r>
            <w:r w:rsidR="00990E6B" w:rsidRPr="00630BDF">
              <w:rPr>
                <w:rFonts w:ascii="Work Sans" w:hAnsi="Work Sans"/>
              </w:rPr>
              <w:t xml:space="preserve">ideas presented </w:t>
            </w:r>
          </w:p>
        </w:tc>
      </w:tr>
      <w:tr w:rsidR="002E5059" w:rsidRPr="00630BDF" w14:paraId="468D8679" w14:textId="77777777" w:rsidTr="00D96360">
        <w:trPr>
          <w:trHeight w:val="3110"/>
        </w:trPr>
        <w:tc>
          <w:tcPr>
            <w:tcW w:w="1696" w:type="dxa"/>
            <w:shd w:val="clear" w:color="auto" w:fill="D9D9D9" w:themeFill="background1" w:themeFillShade="D9"/>
            <w:vAlign w:val="center"/>
          </w:tcPr>
          <w:p w14:paraId="17EC4BEA" w14:textId="77777777" w:rsidR="002E5059" w:rsidRPr="00630BDF" w:rsidRDefault="002E5059" w:rsidP="00D96360">
            <w:pPr>
              <w:rPr>
                <w:rFonts w:ascii="Work Sans" w:hAnsi="Work Sans"/>
              </w:rPr>
            </w:pPr>
            <w:r w:rsidRPr="00630BDF">
              <w:rPr>
                <w:rFonts w:ascii="Work Sans" w:hAnsi="Work Sans"/>
              </w:rPr>
              <w:t>Format</w:t>
            </w:r>
          </w:p>
        </w:tc>
        <w:tc>
          <w:tcPr>
            <w:tcW w:w="7802" w:type="dxa"/>
            <w:vAlign w:val="center"/>
          </w:tcPr>
          <w:p w14:paraId="5F292161" w14:textId="08E8E221" w:rsidR="002E5059" w:rsidRPr="00630BDF" w:rsidRDefault="002E5059" w:rsidP="00D96360">
            <w:pPr>
              <w:pStyle w:val="NoSpacing"/>
              <w:numPr>
                <w:ilvl w:val="0"/>
                <w:numId w:val="1"/>
              </w:numPr>
              <w:rPr>
                <w:rFonts w:ascii="Work Sans" w:hAnsi="Work Sans"/>
              </w:rPr>
            </w:pPr>
            <w:r w:rsidRPr="00630BDF">
              <w:rPr>
                <w:rFonts w:ascii="Work Sans" w:hAnsi="Work Sans"/>
              </w:rPr>
              <w:t xml:space="preserve">Articles of particular interest are to be selected and shared with the group to read ahead of the discussion. Suggestions of focus articles are </w:t>
            </w:r>
            <w:r w:rsidR="005D0820" w:rsidRPr="00630BDF">
              <w:rPr>
                <w:rFonts w:ascii="Work Sans" w:hAnsi="Work Sans"/>
              </w:rPr>
              <w:t>described below.</w:t>
            </w:r>
          </w:p>
          <w:p w14:paraId="47F26A1E" w14:textId="75555417" w:rsidR="002E5059" w:rsidRPr="00630BDF" w:rsidRDefault="002E5059" w:rsidP="00D96360">
            <w:pPr>
              <w:pStyle w:val="NoSpacing"/>
              <w:numPr>
                <w:ilvl w:val="0"/>
                <w:numId w:val="1"/>
              </w:numPr>
              <w:rPr>
                <w:rFonts w:ascii="Work Sans" w:hAnsi="Work Sans"/>
              </w:rPr>
            </w:pPr>
            <w:r w:rsidRPr="00630BDF">
              <w:rPr>
                <w:rFonts w:ascii="Work Sans" w:hAnsi="Work Sans"/>
              </w:rPr>
              <w:t>Small group discussions of articles that closely relate to programme content to supplement learning</w:t>
            </w:r>
            <w:r w:rsidR="000B57CC" w:rsidRPr="00630BDF">
              <w:rPr>
                <w:rFonts w:ascii="Work Sans" w:hAnsi="Work Sans"/>
              </w:rPr>
              <w:t>.</w:t>
            </w:r>
          </w:p>
          <w:p w14:paraId="39DDDF9C" w14:textId="6587E2DA" w:rsidR="002E5059" w:rsidRPr="00630BDF" w:rsidRDefault="002E5059" w:rsidP="00D96360">
            <w:pPr>
              <w:pStyle w:val="NoSpacing"/>
              <w:numPr>
                <w:ilvl w:val="0"/>
                <w:numId w:val="1"/>
              </w:numPr>
              <w:rPr>
                <w:rFonts w:ascii="Work Sans" w:hAnsi="Work Sans"/>
              </w:rPr>
            </w:pPr>
            <w:r w:rsidRPr="00630BDF">
              <w:rPr>
                <w:rFonts w:ascii="Work Sans" w:hAnsi="Work Sans"/>
              </w:rPr>
              <w:t>Discussions can be led by participants or the tutor, using the ‘articles in focus’ resource to prompt debate and aid the conversation</w:t>
            </w:r>
            <w:r w:rsidR="000B57CC" w:rsidRPr="00630BDF">
              <w:rPr>
                <w:rFonts w:ascii="Work Sans" w:hAnsi="Work Sans"/>
              </w:rPr>
              <w:t>.</w:t>
            </w:r>
          </w:p>
          <w:p w14:paraId="0FD82DEE" w14:textId="6AAAE065" w:rsidR="002E5059" w:rsidRPr="00630BDF" w:rsidRDefault="002E5059" w:rsidP="00D96360">
            <w:pPr>
              <w:pStyle w:val="NoSpacing"/>
              <w:numPr>
                <w:ilvl w:val="0"/>
                <w:numId w:val="1"/>
              </w:numPr>
              <w:rPr>
                <w:rFonts w:ascii="Work Sans" w:hAnsi="Work Sans"/>
              </w:rPr>
            </w:pPr>
            <w:r w:rsidRPr="00630BDF">
              <w:rPr>
                <w:rFonts w:ascii="Work Sans" w:hAnsi="Work Sans"/>
              </w:rPr>
              <w:t>The suggested discussion points and questions provided in this pack for selected articles can be used as a starting point to guide the discussion</w:t>
            </w:r>
            <w:r w:rsidR="000B57CC" w:rsidRPr="00630BDF">
              <w:rPr>
                <w:rFonts w:ascii="Work Sans" w:hAnsi="Work Sans"/>
              </w:rPr>
              <w:t>.</w:t>
            </w:r>
          </w:p>
          <w:p w14:paraId="7366B729" w14:textId="7F7C8F77" w:rsidR="002E5059" w:rsidRPr="00630BDF" w:rsidRDefault="002E5059" w:rsidP="00D96360">
            <w:pPr>
              <w:pStyle w:val="NoSpacing"/>
              <w:numPr>
                <w:ilvl w:val="0"/>
                <w:numId w:val="1"/>
              </w:numPr>
              <w:rPr>
                <w:rFonts w:ascii="Work Sans" w:hAnsi="Work Sans"/>
              </w:rPr>
            </w:pPr>
            <w:r w:rsidRPr="00630BDF">
              <w:rPr>
                <w:rFonts w:ascii="Work Sans" w:hAnsi="Work Sans"/>
              </w:rPr>
              <w:t>Students can be encouraged to choose to discuss any of the other articles within the issue</w:t>
            </w:r>
            <w:r w:rsidR="000B57CC" w:rsidRPr="00630BDF">
              <w:rPr>
                <w:rFonts w:ascii="Work Sans" w:hAnsi="Work Sans"/>
              </w:rPr>
              <w:t>.</w:t>
            </w:r>
          </w:p>
        </w:tc>
      </w:tr>
    </w:tbl>
    <w:p w14:paraId="3E6C9D0F" w14:textId="77777777" w:rsidR="002E5059" w:rsidRPr="00630BDF" w:rsidRDefault="002E5059" w:rsidP="002E5059">
      <w:pPr>
        <w:rPr>
          <w:rFonts w:ascii="Work Sans" w:hAnsi="Work Sans"/>
          <w:sz w:val="20"/>
          <w:szCs w:val="20"/>
        </w:rPr>
      </w:pPr>
    </w:p>
    <w:p w14:paraId="67D21EC4" w14:textId="686BAF2D" w:rsidR="002E5059" w:rsidRPr="00630BDF" w:rsidRDefault="002E5059" w:rsidP="002E5059">
      <w:pPr>
        <w:rPr>
          <w:rFonts w:ascii="Work Sans" w:hAnsi="Work Sans"/>
          <w:b/>
          <w:bCs/>
        </w:rPr>
      </w:pPr>
      <w:r w:rsidRPr="00630BDF">
        <w:rPr>
          <w:rFonts w:ascii="Work Sans" w:hAnsi="Work Sans"/>
          <w:noProof/>
          <w14:ligatures w14:val="standardContextual"/>
        </w:rPr>
        <w:drawing>
          <wp:anchor distT="0" distB="0" distL="114300" distR="114300" simplePos="0" relativeHeight="251658240" behindDoc="0" locked="0" layoutInCell="1" allowOverlap="1" wp14:anchorId="011B0FDA" wp14:editId="2AC36A17">
            <wp:simplePos x="0" y="0"/>
            <wp:positionH relativeFrom="column">
              <wp:posOffset>43815</wp:posOffset>
            </wp:positionH>
            <wp:positionV relativeFrom="paragraph">
              <wp:posOffset>73025</wp:posOffset>
            </wp:positionV>
            <wp:extent cx="1548765" cy="2192655"/>
            <wp:effectExtent l="0" t="0" r="0" b="0"/>
            <wp:wrapSquare wrapText="bothSides"/>
            <wp:docPr id="1600721181" name="Picture 160072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21181" name="Picture 16007211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8765" cy="2192655"/>
                    </a:xfrm>
                    <a:prstGeom prst="rect">
                      <a:avLst/>
                    </a:prstGeom>
                  </pic:spPr>
                </pic:pic>
              </a:graphicData>
            </a:graphic>
            <wp14:sizeRelH relativeFrom="margin">
              <wp14:pctWidth>0</wp14:pctWidth>
            </wp14:sizeRelH>
            <wp14:sizeRelV relativeFrom="margin">
              <wp14:pctHeight>0</wp14:pctHeight>
            </wp14:sizeRelV>
          </wp:anchor>
        </w:drawing>
      </w:r>
      <w:r w:rsidRPr="00630BDF">
        <w:rPr>
          <w:rFonts w:ascii="Work Sans" w:hAnsi="Work Sans"/>
        </w:rPr>
        <w:t>e</w:t>
      </w:r>
      <w:r w:rsidRPr="00630BDF">
        <w:rPr>
          <w:rFonts w:ascii="Work Sans" w:hAnsi="Work Sans"/>
          <w:i/>
          <w:iCs/>
        </w:rPr>
        <w:t>nvironmental SCIENTIST</w:t>
      </w:r>
      <w:r w:rsidRPr="00630BDF">
        <w:rPr>
          <w:rFonts w:ascii="Work Sans" w:hAnsi="Work Sans"/>
          <w:b/>
          <w:bCs/>
        </w:rPr>
        <w:br/>
      </w:r>
      <w:r w:rsidR="00D24332">
        <w:rPr>
          <w:rFonts w:ascii="Work Sans" w:hAnsi="Work Sans"/>
          <w:b/>
          <w:bCs/>
        </w:rPr>
        <w:t>Under Construction: Delivering Better Infrastructure</w:t>
      </w:r>
      <w:r w:rsidRPr="00630BDF">
        <w:rPr>
          <w:rFonts w:ascii="Work Sans" w:hAnsi="Work Sans"/>
          <w:b/>
          <w:bCs/>
        </w:rPr>
        <w:br/>
      </w:r>
      <w:r w:rsidRPr="00630BDF">
        <w:rPr>
          <w:rFonts w:ascii="Work Sans" w:hAnsi="Work Sans"/>
        </w:rPr>
        <w:t>Vol 3</w:t>
      </w:r>
      <w:r w:rsidR="00D24332">
        <w:rPr>
          <w:rFonts w:ascii="Work Sans" w:hAnsi="Work Sans"/>
        </w:rPr>
        <w:t>6</w:t>
      </w:r>
      <w:r w:rsidRPr="00630BDF">
        <w:rPr>
          <w:rFonts w:ascii="Work Sans" w:hAnsi="Work Sans"/>
        </w:rPr>
        <w:t>, issue</w:t>
      </w:r>
      <w:r w:rsidR="007B79FC">
        <w:rPr>
          <w:rFonts w:ascii="Work Sans" w:hAnsi="Work Sans"/>
        </w:rPr>
        <w:t xml:space="preserve"> </w:t>
      </w:r>
      <w:r w:rsidR="00D24332">
        <w:rPr>
          <w:rFonts w:ascii="Work Sans" w:hAnsi="Work Sans"/>
        </w:rPr>
        <w:t>1</w:t>
      </w:r>
    </w:p>
    <w:p w14:paraId="62654256" w14:textId="2BC1B5A0" w:rsidR="002E5059" w:rsidRPr="00630BDF" w:rsidRDefault="004D1D8D" w:rsidP="002E5059">
      <w:pPr>
        <w:pStyle w:val="NoSpacing"/>
        <w:rPr>
          <w:rFonts w:ascii="Work Sans" w:hAnsi="Work Sans"/>
          <w:b/>
          <w:bCs/>
          <w:sz w:val="2"/>
          <w:szCs w:val="2"/>
        </w:rPr>
      </w:pPr>
      <w:hyperlink r:id="rId11" w:history="1">
        <w:r w:rsidRPr="000F5951">
          <w:rPr>
            <w:rStyle w:val="Hyperlink"/>
          </w:rPr>
          <w:t>https://www.the-ies.org/resources/under-construction-delivering-better-infrastructure</w:t>
        </w:r>
      </w:hyperlink>
      <w:r>
        <w:t xml:space="preserve"> </w:t>
      </w:r>
    </w:p>
    <w:tbl>
      <w:tblPr>
        <w:tblStyle w:val="TableGrid"/>
        <w:tblW w:w="9498" w:type="dxa"/>
        <w:tblInd w:w="-5" w:type="dxa"/>
        <w:tblLook w:val="04A0" w:firstRow="1" w:lastRow="0" w:firstColumn="1" w:lastColumn="0" w:noHBand="0" w:noVBand="1"/>
      </w:tblPr>
      <w:tblGrid>
        <w:gridCol w:w="1985"/>
        <w:gridCol w:w="7513"/>
      </w:tblGrid>
      <w:tr w:rsidR="002E5059" w:rsidRPr="00630BDF" w14:paraId="41D35787" w14:textId="77777777" w:rsidTr="7D123967">
        <w:trPr>
          <w:trHeight w:val="2162"/>
        </w:trPr>
        <w:tc>
          <w:tcPr>
            <w:tcW w:w="1985" w:type="dxa"/>
            <w:shd w:val="clear" w:color="auto" w:fill="D9D9D9" w:themeFill="background1" w:themeFillShade="D9"/>
            <w:vAlign w:val="center"/>
          </w:tcPr>
          <w:p w14:paraId="61AEDABF" w14:textId="77777777" w:rsidR="002E5059" w:rsidRPr="00630BDF" w:rsidRDefault="002E5059" w:rsidP="00D96360">
            <w:pPr>
              <w:rPr>
                <w:rFonts w:ascii="Work Sans" w:hAnsi="Work Sans"/>
                <w:b/>
                <w:bCs/>
              </w:rPr>
            </w:pPr>
            <w:r w:rsidRPr="00630BDF">
              <w:rPr>
                <w:rFonts w:ascii="Work Sans" w:hAnsi="Work Sans"/>
                <w:b/>
                <w:bCs/>
              </w:rPr>
              <w:lastRenderedPageBreak/>
              <w:t xml:space="preserve">Topic overview </w:t>
            </w:r>
          </w:p>
        </w:tc>
        <w:tc>
          <w:tcPr>
            <w:tcW w:w="7513" w:type="dxa"/>
            <w:vAlign w:val="center"/>
          </w:tcPr>
          <w:p w14:paraId="3CC217BB" w14:textId="5ED6A207" w:rsidR="009448DB" w:rsidRPr="009448DB" w:rsidRDefault="009448DB" w:rsidP="009448DB">
            <w:pPr>
              <w:pStyle w:val="NormalWeb"/>
              <w:shd w:val="clear" w:color="auto" w:fill="FFFFFF"/>
              <w:spacing w:before="120" w:after="240"/>
              <w:rPr>
                <w:rFonts w:ascii="Work Sans" w:hAnsi="Work Sans"/>
                <w:color w:val="000000"/>
                <w:sz w:val="20"/>
                <w:szCs w:val="20"/>
              </w:rPr>
            </w:pPr>
            <w:r w:rsidRPr="009448DB">
              <w:rPr>
                <w:rFonts w:ascii="Work Sans" w:hAnsi="Work Sans"/>
                <w:color w:val="000000"/>
                <w:sz w:val="20"/>
                <w:szCs w:val="20"/>
              </w:rPr>
              <w:t>How do we keep the UK running in the context of an increasingly insecure environment? The answer lies where human endeavour meets the environment: in developing sustainable infrastructure.</w:t>
            </w:r>
          </w:p>
          <w:p w14:paraId="2F96F0F8" w14:textId="57DC0C29" w:rsidR="009448DB" w:rsidRPr="009448DB" w:rsidRDefault="009448DB" w:rsidP="009448DB">
            <w:pPr>
              <w:pStyle w:val="NormalWeb"/>
              <w:shd w:val="clear" w:color="auto" w:fill="FFFFFF"/>
              <w:spacing w:before="120" w:after="240"/>
              <w:rPr>
                <w:rFonts w:ascii="Work Sans" w:hAnsi="Work Sans"/>
                <w:color w:val="000000"/>
                <w:sz w:val="20"/>
                <w:szCs w:val="20"/>
              </w:rPr>
            </w:pPr>
            <w:r w:rsidRPr="009448DB">
              <w:rPr>
                <w:rFonts w:ascii="Work Sans" w:hAnsi="Work Sans"/>
                <w:color w:val="000000"/>
                <w:sz w:val="20"/>
                <w:szCs w:val="20"/>
              </w:rPr>
              <w:t>Th</w:t>
            </w:r>
            <w:r>
              <w:rPr>
                <w:rFonts w:ascii="Work Sans" w:hAnsi="Work Sans"/>
                <w:color w:val="000000"/>
                <w:sz w:val="20"/>
                <w:szCs w:val="20"/>
              </w:rPr>
              <w:t xml:space="preserve">is </w:t>
            </w:r>
            <w:r w:rsidRPr="009448DB">
              <w:rPr>
                <w:rFonts w:ascii="Work Sans" w:hAnsi="Work Sans"/>
                <w:color w:val="000000"/>
                <w:sz w:val="20"/>
                <w:szCs w:val="20"/>
              </w:rPr>
              <w:t>issue of environmental SCIENTIST</w:t>
            </w:r>
            <w:r w:rsidR="002E753D">
              <w:rPr>
                <w:rFonts w:ascii="Work Sans" w:hAnsi="Work Sans"/>
                <w:color w:val="000000"/>
                <w:sz w:val="20"/>
                <w:szCs w:val="20"/>
              </w:rPr>
              <w:t xml:space="preserve"> </w:t>
            </w:r>
            <w:r w:rsidRPr="009448DB">
              <w:rPr>
                <w:rFonts w:ascii="Work Sans" w:hAnsi="Work Sans"/>
                <w:color w:val="000000"/>
                <w:sz w:val="20"/>
                <w:szCs w:val="20"/>
              </w:rPr>
              <w:t>digs into the infrastructure we need to meet targets for housing, green energy provision, and sustainable transport. This edition gets to the heart of the key constraints facing UK infrastructure in a time of policy upheaval and climate change, and explores new opportunities for innovation, development, and progress.</w:t>
            </w:r>
          </w:p>
          <w:p w14:paraId="1A045CB9" w14:textId="77777777" w:rsidR="002E753D" w:rsidRDefault="002E753D" w:rsidP="009448DB">
            <w:pPr>
              <w:pStyle w:val="NormalWeb"/>
              <w:shd w:val="clear" w:color="auto" w:fill="FFFFFF"/>
              <w:spacing w:before="120" w:beforeAutospacing="0" w:after="240" w:afterAutospacing="0"/>
              <w:rPr>
                <w:rFonts w:ascii="Work Sans" w:hAnsi="Work Sans"/>
                <w:color w:val="000000"/>
                <w:sz w:val="20"/>
                <w:szCs w:val="20"/>
              </w:rPr>
            </w:pPr>
            <w:r>
              <w:rPr>
                <w:rFonts w:ascii="Work Sans" w:hAnsi="Work Sans"/>
                <w:color w:val="000000"/>
                <w:sz w:val="20"/>
                <w:szCs w:val="20"/>
              </w:rPr>
              <w:t>Authors in this edition</w:t>
            </w:r>
            <w:r w:rsidR="009448DB" w:rsidRPr="009448DB">
              <w:rPr>
                <w:rFonts w:ascii="Work Sans" w:hAnsi="Work Sans"/>
                <w:color w:val="000000"/>
                <w:sz w:val="20"/>
                <w:szCs w:val="20"/>
              </w:rPr>
              <w:t xml:space="preserve"> detail case studies of successful, nature-inclusive housing, look at the latest innovations in sustainable building materials, ask how our energy needs could be met by a new approach to nuclear, and examine how we can improve policies on waste infrastructure.</w:t>
            </w:r>
            <w:r>
              <w:rPr>
                <w:rFonts w:ascii="Work Sans" w:hAnsi="Work Sans"/>
                <w:color w:val="000000"/>
                <w:sz w:val="20"/>
                <w:szCs w:val="20"/>
              </w:rPr>
              <w:t xml:space="preserve"> </w:t>
            </w:r>
          </w:p>
          <w:p w14:paraId="11C4B152" w14:textId="55182305" w:rsidR="00545646" w:rsidRPr="00630BDF" w:rsidRDefault="009448DB" w:rsidP="009448DB">
            <w:pPr>
              <w:pStyle w:val="NormalWeb"/>
              <w:shd w:val="clear" w:color="auto" w:fill="FFFFFF"/>
              <w:spacing w:before="120" w:beforeAutospacing="0" w:after="240" w:afterAutospacing="0"/>
              <w:rPr>
                <w:rFonts w:ascii="Work Sans" w:hAnsi="Work Sans"/>
                <w:color w:val="000000"/>
                <w:sz w:val="20"/>
                <w:szCs w:val="20"/>
              </w:rPr>
            </w:pPr>
            <w:r w:rsidRPr="009448DB">
              <w:rPr>
                <w:rFonts w:ascii="Work Sans" w:hAnsi="Work Sans"/>
                <w:color w:val="000000"/>
                <w:sz w:val="20"/>
                <w:szCs w:val="20"/>
              </w:rPr>
              <w:t>Without shying away from the numerous challenges that UK infrastructure faces – including ageing and insufficient water systems, complex housing stocks, and fragmented public transport policies – articles in this issue propose how we can take advantage of opportunities to build better, more resilient, and more future-friendly infrastructure.</w:t>
            </w:r>
          </w:p>
        </w:tc>
      </w:tr>
      <w:tr w:rsidR="002E5059" w:rsidRPr="00630BDF" w14:paraId="7DF946E9" w14:textId="77777777" w:rsidTr="7D123967">
        <w:trPr>
          <w:trHeight w:val="289"/>
        </w:trPr>
        <w:tc>
          <w:tcPr>
            <w:tcW w:w="9498" w:type="dxa"/>
            <w:gridSpan w:val="2"/>
            <w:shd w:val="clear" w:color="auto" w:fill="D9D9D9" w:themeFill="background1" w:themeFillShade="D9"/>
          </w:tcPr>
          <w:p w14:paraId="63D1AD7C" w14:textId="77777777" w:rsidR="002E5059" w:rsidRPr="00630BDF" w:rsidRDefault="002E5059" w:rsidP="00D96360">
            <w:pPr>
              <w:pStyle w:val="NoSpacing"/>
              <w:jc w:val="center"/>
              <w:rPr>
                <w:rFonts w:ascii="Work Sans" w:hAnsi="Work Sans"/>
                <w:b/>
                <w:bCs/>
              </w:rPr>
            </w:pPr>
            <w:r w:rsidRPr="00630BDF">
              <w:rPr>
                <w:rFonts w:ascii="Work Sans" w:hAnsi="Work Sans"/>
                <w:b/>
                <w:bCs/>
              </w:rPr>
              <w:t>Articles in focus</w:t>
            </w:r>
          </w:p>
        </w:tc>
      </w:tr>
      <w:tr w:rsidR="002E5059" w:rsidRPr="00630BDF" w14:paraId="63532093" w14:textId="77777777" w:rsidTr="7D123967">
        <w:trPr>
          <w:trHeight w:val="965"/>
        </w:trPr>
        <w:tc>
          <w:tcPr>
            <w:tcW w:w="1985" w:type="dxa"/>
            <w:vMerge w:val="restart"/>
            <w:shd w:val="clear" w:color="auto" w:fill="D9D9D9" w:themeFill="background1" w:themeFillShade="D9"/>
            <w:vAlign w:val="center"/>
          </w:tcPr>
          <w:p w14:paraId="5F2242D1" w14:textId="13B85774" w:rsidR="002E5059" w:rsidRPr="00630BDF" w:rsidRDefault="008107A6" w:rsidP="0080378C">
            <w:pPr>
              <w:rPr>
                <w:rFonts w:ascii="Work Sans" w:hAnsi="Work Sans"/>
                <w:b/>
                <w:bCs/>
              </w:rPr>
            </w:pPr>
            <w:r w:rsidRPr="00630BDF">
              <w:rPr>
                <w:rFonts w:ascii="Work Sans" w:hAnsi="Work Sans"/>
                <w:b/>
                <w:bCs/>
              </w:rPr>
              <w:t>‘</w:t>
            </w:r>
            <w:r w:rsidR="0080378C">
              <w:rPr>
                <w:rFonts w:ascii="Work Sans" w:hAnsi="Work Sans"/>
                <w:b/>
                <w:bCs/>
              </w:rPr>
              <w:t>Sustainable transport infrastructure: which path to take?</w:t>
            </w:r>
            <w:r w:rsidR="00A2629E">
              <w:rPr>
                <w:rFonts w:ascii="Work Sans" w:hAnsi="Work Sans"/>
                <w:b/>
                <w:bCs/>
              </w:rPr>
              <w:t>’</w:t>
            </w:r>
          </w:p>
          <w:p w14:paraId="406A349A" w14:textId="77777777" w:rsidR="002E5059" w:rsidRPr="00630BDF" w:rsidRDefault="002E5059" w:rsidP="00D96360">
            <w:pPr>
              <w:rPr>
                <w:rFonts w:ascii="Work Sans" w:hAnsi="Work Sans"/>
                <w:b/>
                <w:bCs/>
              </w:rPr>
            </w:pPr>
          </w:p>
          <w:p w14:paraId="4570C845" w14:textId="55F7F61F" w:rsidR="002E5059" w:rsidRPr="00630BDF" w:rsidRDefault="008107A6" w:rsidP="00D96360">
            <w:pPr>
              <w:rPr>
                <w:rFonts w:ascii="Work Sans" w:hAnsi="Work Sans"/>
                <w:b/>
                <w:bCs/>
              </w:rPr>
            </w:pPr>
            <w:r w:rsidRPr="00630BDF">
              <w:rPr>
                <w:rFonts w:ascii="Work Sans" w:hAnsi="Work Sans"/>
                <w:b/>
                <w:bCs/>
              </w:rPr>
              <w:t>(</w:t>
            </w:r>
            <w:r w:rsidR="0080378C">
              <w:rPr>
                <w:rFonts w:ascii="Work Sans" w:hAnsi="Work Sans"/>
                <w:b/>
                <w:bCs/>
              </w:rPr>
              <w:t>Ralph Smyth, p. 24</w:t>
            </w:r>
            <w:r w:rsidR="002E5059" w:rsidRPr="00630BDF">
              <w:rPr>
                <w:rFonts w:ascii="Work Sans" w:hAnsi="Work Sans"/>
                <w:b/>
                <w:bCs/>
              </w:rPr>
              <w:t>)</w:t>
            </w:r>
          </w:p>
        </w:tc>
        <w:tc>
          <w:tcPr>
            <w:tcW w:w="7513" w:type="dxa"/>
            <w:shd w:val="clear" w:color="auto" w:fill="E7E6E6" w:themeFill="background2"/>
            <w:vAlign w:val="center"/>
          </w:tcPr>
          <w:p w14:paraId="12BFCE1E" w14:textId="156F70EF" w:rsidR="002E5059" w:rsidRPr="00630BDF" w:rsidRDefault="002E5059" w:rsidP="00A75196">
            <w:pPr>
              <w:pStyle w:val="NoSpacing"/>
              <w:rPr>
                <w:rFonts w:ascii="Work Sans" w:hAnsi="Work Sans"/>
              </w:rPr>
            </w:pPr>
            <w:r w:rsidRPr="00630BDF">
              <w:rPr>
                <w:rFonts w:ascii="Work Sans" w:hAnsi="Work Sans"/>
                <w:b/>
                <w:bCs/>
              </w:rPr>
              <w:t>Article overview:</w:t>
            </w:r>
            <w:r w:rsidRPr="00630BDF">
              <w:rPr>
                <w:rFonts w:ascii="Work Sans" w:hAnsi="Work Sans"/>
              </w:rPr>
              <w:t xml:space="preserve"> </w:t>
            </w:r>
            <w:r w:rsidR="00AD3FF5">
              <w:rPr>
                <w:rFonts w:ascii="Work Sans" w:hAnsi="Work Sans"/>
              </w:rPr>
              <w:t xml:space="preserve">This article </w:t>
            </w:r>
            <w:r w:rsidR="00AE0CC4">
              <w:rPr>
                <w:rFonts w:ascii="Work Sans" w:hAnsi="Work Sans"/>
              </w:rPr>
              <w:t xml:space="preserve">looks at the UK’s transport infrastructure, and how policy is influencing its </w:t>
            </w:r>
            <w:r w:rsidR="00F1432B">
              <w:rPr>
                <w:rFonts w:ascii="Work Sans" w:hAnsi="Work Sans"/>
              </w:rPr>
              <w:t>future trajectory.</w:t>
            </w:r>
          </w:p>
        </w:tc>
      </w:tr>
      <w:tr w:rsidR="002E5059" w:rsidRPr="00630BDF" w14:paraId="35A7A0A9" w14:textId="77777777" w:rsidTr="7D123967">
        <w:trPr>
          <w:trHeight w:val="2539"/>
        </w:trPr>
        <w:tc>
          <w:tcPr>
            <w:tcW w:w="1985" w:type="dxa"/>
            <w:vMerge/>
          </w:tcPr>
          <w:p w14:paraId="071592C7" w14:textId="77777777" w:rsidR="002E5059" w:rsidRPr="00630BDF" w:rsidRDefault="002E5059" w:rsidP="00D96360">
            <w:pPr>
              <w:rPr>
                <w:rFonts w:ascii="Work Sans" w:hAnsi="Work Sans"/>
                <w:b/>
                <w:bCs/>
              </w:rPr>
            </w:pPr>
          </w:p>
        </w:tc>
        <w:tc>
          <w:tcPr>
            <w:tcW w:w="7513" w:type="dxa"/>
            <w:vAlign w:val="center"/>
          </w:tcPr>
          <w:p w14:paraId="7EDB8AD2" w14:textId="7B5F12F6" w:rsidR="007F500D" w:rsidRDefault="00174596" w:rsidP="00D96360">
            <w:pPr>
              <w:pStyle w:val="ListParagraph"/>
              <w:numPr>
                <w:ilvl w:val="0"/>
                <w:numId w:val="2"/>
              </w:numPr>
              <w:spacing w:after="160"/>
              <w:rPr>
                <w:rFonts w:ascii="Work Sans" w:hAnsi="Work Sans"/>
              </w:rPr>
            </w:pPr>
            <w:r>
              <w:rPr>
                <w:rFonts w:ascii="Work Sans" w:hAnsi="Work Sans"/>
              </w:rPr>
              <w:t xml:space="preserve">Explain why the UK’s largest single climate burden is </w:t>
            </w:r>
            <w:r w:rsidR="0034272C">
              <w:rPr>
                <w:rFonts w:ascii="Work Sans" w:hAnsi="Work Sans"/>
              </w:rPr>
              <w:t>England’s strategic road network.</w:t>
            </w:r>
          </w:p>
          <w:p w14:paraId="0AAF947D" w14:textId="70C0BC31" w:rsidR="0034272C" w:rsidRDefault="0034272C" w:rsidP="00D96360">
            <w:pPr>
              <w:pStyle w:val="ListParagraph"/>
              <w:numPr>
                <w:ilvl w:val="0"/>
                <w:numId w:val="2"/>
              </w:numPr>
              <w:spacing w:after="160"/>
              <w:rPr>
                <w:rFonts w:ascii="Work Sans" w:hAnsi="Work Sans"/>
              </w:rPr>
            </w:pPr>
            <w:r>
              <w:rPr>
                <w:rFonts w:ascii="Work Sans" w:hAnsi="Work Sans"/>
              </w:rPr>
              <w:t xml:space="preserve">Identify two </w:t>
            </w:r>
            <w:r w:rsidR="00D7279B">
              <w:rPr>
                <w:rFonts w:ascii="Work Sans" w:hAnsi="Work Sans"/>
              </w:rPr>
              <w:t xml:space="preserve">reasons why </w:t>
            </w:r>
            <w:r w:rsidR="000264EF">
              <w:rPr>
                <w:rFonts w:ascii="Work Sans" w:hAnsi="Work Sans"/>
              </w:rPr>
              <w:t>electric vehicles still have a negative environmental impact.</w:t>
            </w:r>
          </w:p>
          <w:p w14:paraId="386C8142" w14:textId="7A16A8F9" w:rsidR="00651007" w:rsidRPr="00630BDF" w:rsidRDefault="00985955" w:rsidP="00D96360">
            <w:pPr>
              <w:pStyle w:val="ListParagraph"/>
              <w:numPr>
                <w:ilvl w:val="0"/>
                <w:numId w:val="2"/>
              </w:numPr>
              <w:spacing w:after="160"/>
              <w:rPr>
                <w:rFonts w:ascii="Work Sans" w:hAnsi="Work Sans"/>
              </w:rPr>
            </w:pPr>
            <w:r>
              <w:rPr>
                <w:rFonts w:ascii="Work Sans" w:hAnsi="Work Sans"/>
              </w:rPr>
              <w:t xml:space="preserve">Discuss the options the author presents for </w:t>
            </w:r>
            <w:r w:rsidR="002353AC">
              <w:rPr>
                <w:rFonts w:ascii="Work Sans" w:hAnsi="Work Sans"/>
              </w:rPr>
              <w:t>rapid, low-cost interventions that might help meet the 2030 emissions reduction target. Are these viable? Why/why not?</w:t>
            </w:r>
          </w:p>
        </w:tc>
      </w:tr>
      <w:tr w:rsidR="002E5059" w:rsidRPr="00630BDF" w14:paraId="67B49115" w14:textId="77777777" w:rsidTr="7D123967">
        <w:trPr>
          <w:trHeight w:val="987"/>
        </w:trPr>
        <w:tc>
          <w:tcPr>
            <w:tcW w:w="1985" w:type="dxa"/>
            <w:vMerge w:val="restart"/>
            <w:shd w:val="clear" w:color="auto" w:fill="D9D9D9" w:themeFill="background1" w:themeFillShade="D9"/>
            <w:vAlign w:val="center"/>
          </w:tcPr>
          <w:p w14:paraId="641CAB71" w14:textId="3E5A77B7" w:rsidR="002E5059" w:rsidRDefault="0011715C" w:rsidP="00795675">
            <w:pPr>
              <w:rPr>
                <w:rFonts w:ascii="Work Sans" w:hAnsi="Work Sans"/>
                <w:b/>
                <w:bCs/>
              </w:rPr>
            </w:pPr>
            <w:r w:rsidRPr="00630BDF">
              <w:rPr>
                <w:rFonts w:ascii="Work Sans" w:hAnsi="Work Sans"/>
                <w:b/>
                <w:bCs/>
              </w:rPr>
              <w:t>‘</w:t>
            </w:r>
            <w:r w:rsidR="001E5565">
              <w:rPr>
                <w:rFonts w:ascii="Work Sans" w:hAnsi="Work Sans"/>
                <w:b/>
                <w:bCs/>
              </w:rPr>
              <w:t>Microorganism-based composites and the future of regenerative construction</w:t>
            </w:r>
            <w:r w:rsidR="003D6112">
              <w:rPr>
                <w:rFonts w:ascii="Work Sans" w:hAnsi="Work Sans"/>
                <w:b/>
                <w:bCs/>
              </w:rPr>
              <w:t>’</w:t>
            </w:r>
          </w:p>
          <w:p w14:paraId="60C01204" w14:textId="77777777" w:rsidR="009427B7" w:rsidRPr="00630BDF" w:rsidRDefault="009427B7" w:rsidP="00795675">
            <w:pPr>
              <w:rPr>
                <w:rFonts w:ascii="Work Sans" w:hAnsi="Work Sans"/>
                <w:b/>
                <w:bCs/>
              </w:rPr>
            </w:pPr>
          </w:p>
          <w:p w14:paraId="3AE9F993" w14:textId="31A543B0" w:rsidR="002E5059" w:rsidRPr="00630BDF" w:rsidRDefault="005A560B" w:rsidP="009427B7">
            <w:pPr>
              <w:rPr>
                <w:rFonts w:ascii="Work Sans" w:hAnsi="Work Sans"/>
                <w:b/>
                <w:bCs/>
              </w:rPr>
            </w:pPr>
            <w:r w:rsidRPr="00630BDF">
              <w:rPr>
                <w:rFonts w:ascii="Work Sans" w:hAnsi="Work Sans"/>
                <w:b/>
                <w:bCs/>
              </w:rPr>
              <w:t>(</w:t>
            </w:r>
            <w:r w:rsidR="001E5565">
              <w:rPr>
                <w:rFonts w:ascii="Work Sans" w:hAnsi="Work Sans"/>
                <w:b/>
                <w:bCs/>
              </w:rPr>
              <w:t>Juliana Calabria-Holley &amp; Kevin Paine</w:t>
            </w:r>
            <w:r w:rsidR="009427B7">
              <w:rPr>
                <w:rFonts w:ascii="Work Sans" w:hAnsi="Work Sans"/>
                <w:b/>
                <w:bCs/>
              </w:rPr>
              <w:t>,</w:t>
            </w:r>
            <w:r w:rsidR="00725D60">
              <w:rPr>
                <w:rFonts w:ascii="Work Sans" w:hAnsi="Work Sans"/>
                <w:b/>
                <w:bCs/>
              </w:rPr>
              <w:t xml:space="preserve"> p. </w:t>
            </w:r>
            <w:r w:rsidR="001E5565">
              <w:rPr>
                <w:rFonts w:ascii="Work Sans" w:hAnsi="Work Sans"/>
                <w:b/>
                <w:bCs/>
              </w:rPr>
              <w:t>52</w:t>
            </w:r>
            <w:r w:rsidRPr="00630BDF">
              <w:rPr>
                <w:rFonts w:ascii="Work Sans" w:hAnsi="Work Sans"/>
                <w:b/>
                <w:bCs/>
              </w:rPr>
              <w:t>)</w:t>
            </w:r>
          </w:p>
        </w:tc>
        <w:tc>
          <w:tcPr>
            <w:tcW w:w="7513" w:type="dxa"/>
            <w:shd w:val="clear" w:color="auto" w:fill="E7E6E6" w:themeFill="background2"/>
            <w:vAlign w:val="center"/>
          </w:tcPr>
          <w:p w14:paraId="3D1848FB" w14:textId="602C0049" w:rsidR="002E5059" w:rsidRPr="00630BDF" w:rsidRDefault="002E5059" w:rsidP="00D96360">
            <w:pPr>
              <w:pStyle w:val="NoSpacing"/>
              <w:rPr>
                <w:rFonts w:ascii="Work Sans" w:hAnsi="Work Sans"/>
              </w:rPr>
            </w:pPr>
            <w:r w:rsidRPr="00630BDF">
              <w:rPr>
                <w:rFonts w:ascii="Work Sans" w:hAnsi="Work Sans"/>
                <w:b/>
                <w:bCs/>
              </w:rPr>
              <w:t>Article overview:</w:t>
            </w:r>
            <w:r w:rsidRPr="00630BDF">
              <w:rPr>
                <w:rFonts w:ascii="Work Sans" w:hAnsi="Work Sans"/>
              </w:rPr>
              <w:t xml:space="preserve"> </w:t>
            </w:r>
            <w:r w:rsidR="00F1432B">
              <w:rPr>
                <w:rFonts w:ascii="Work Sans" w:hAnsi="Work Sans"/>
              </w:rPr>
              <w:t xml:space="preserve">Authors in this article consider the innovations in bacteria- and mycelium-based building material composites, and how they might be used in the transition to a more sustainable </w:t>
            </w:r>
            <w:r w:rsidR="00632550">
              <w:rPr>
                <w:rFonts w:ascii="Work Sans" w:hAnsi="Work Sans"/>
              </w:rPr>
              <w:t>construction sector.</w:t>
            </w:r>
          </w:p>
        </w:tc>
      </w:tr>
      <w:tr w:rsidR="002E5059" w:rsidRPr="00630BDF" w14:paraId="76B6D917" w14:textId="77777777" w:rsidTr="7D123967">
        <w:trPr>
          <w:trHeight w:val="2542"/>
        </w:trPr>
        <w:tc>
          <w:tcPr>
            <w:tcW w:w="1985" w:type="dxa"/>
            <w:vMerge/>
          </w:tcPr>
          <w:p w14:paraId="152ED2E9" w14:textId="77777777" w:rsidR="002E5059" w:rsidRPr="00630BDF" w:rsidRDefault="002E5059" w:rsidP="00D96360">
            <w:pPr>
              <w:rPr>
                <w:rFonts w:ascii="Work Sans" w:hAnsi="Work Sans"/>
                <w:b/>
                <w:bCs/>
              </w:rPr>
            </w:pPr>
          </w:p>
        </w:tc>
        <w:tc>
          <w:tcPr>
            <w:tcW w:w="7513" w:type="dxa"/>
            <w:vAlign w:val="center"/>
          </w:tcPr>
          <w:p w14:paraId="4E3BE63A" w14:textId="449512BE" w:rsidR="00537F9E" w:rsidRDefault="00B07AE7" w:rsidP="00585947">
            <w:pPr>
              <w:pStyle w:val="ListParagraph"/>
              <w:numPr>
                <w:ilvl w:val="0"/>
                <w:numId w:val="4"/>
              </w:numPr>
              <w:rPr>
                <w:rFonts w:ascii="Work Sans" w:hAnsi="Work Sans"/>
              </w:rPr>
            </w:pPr>
            <w:r>
              <w:rPr>
                <w:rFonts w:ascii="Work Sans" w:hAnsi="Work Sans"/>
              </w:rPr>
              <w:t>Give two reasons why there is pressure on the construction sector to decarbonise.</w:t>
            </w:r>
          </w:p>
          <w:p w14:paraId="2AA3A6FB" w14:textId="4EE6CC96" w:rsidR="00B07AE7" w:rsidRDefault="00AE0CC4" w:rsidP="00585947">
            <w:pPr>
              <w:pStyle w:val="ListParagraph"/>
              <w:numPr>
                <w:ilvl w:val="0"/>
                <w:numId w:val="4"/>
              </w:numPr>
              <w:rPr>
                <w:rFonts w:ascii="Work Sans" w:hAnsi="Work Sans"/>
              </w:rPr>
            </w:pPr>
            <w:r>
              <w:rPr>
                <w:rFonts w:ascii="Work Sans" w:hAnsi="Work Sans"/>
              </w:rPr>
              <w:t xml:space="preserve">Discuss one pro and one con for using </w:t>
            </w:r>
            <w:r w:rsidR="00BB7423">
              <w:rPr>
                <w:rFonts w:ascii="Work Sans" w:hAnsi="Work Sans"/>
              </w:rPr>
              <w:t xml:space="preserve">either </w:t>
            </w:r>
            <w:r>
              <w:rPr>
                <w:rFonts w:ascii="Work Sans" w:hAnsi="Work Sans"/>
              </w:rPr>
              <w:t>bacteria or mycelium in building materials.</w:t>
            </w:r>
          </w:p>
          <w:p w14:paraId="06B8B2FA" w14:textId="54A5615F" w:rsidR="003444B1" w:rsidRPr="00630BDF" w:rsidRDefault="009A1920" w:rsidP="00585947">
            <w:pPr>
              <w:pStyle w:val="ListParagraph"/>
              <w:numPr>
                <w:ilvl w:val="0"/>
                <w:numId w:val="4"/>
              </w:numPr>
              <w:rPr>
                <w:rFonts w:ascii="Work Sans" w:hAnsi="Work Sans"/>
              </w:rPr>
            </w:pPr>
            <w:r w:rsidRPr="7D123967">
              <w:rPr>
                <w:rFonts w:ascii="Work Sans" w:hAnsi="Work Sans"/>
              </w:rPr>
              <w:t xml:space="preserve">Explain the difference between abiotic and biotic stress </w:t>
            </w:r>
            <w:proofErr w:type="gramStart"/>
            <w:r w:rsidRPr="7D123967">
              <w:rPr>
                <w:rFonts w:ascii="Work Sans" w:hAnsi="Work Sans"/>
              </w:rPr>
              <w:t>conditions</w:t>
            </w:r>
            <w:r w:rsidR="09D2F295" w:rsidRPr="7D123967">
              <w:rPr>
                <w:rFonts w:ascii="Work Sans" w:hAnsi="Work Sans"/>
              </w:rPr>
              <w:t>,</w:t>
            </w:r>
            <w:r w:rsidRPr="7D123967">
              <w:rPr>
                <w:rFonts w:ascii="Work Sans" w:hAnsi="Work Sans"/>
              </w:rPr>
              <w:t xml:space="preserve"> and</w:t>
            </w:r>
            <w:proofErr w:type="gramEnd"/>
            <w:r w:rsidRPr="7D123967">
              <w:rPr>
                <w:rFonts w:ascii="Work Sans" w:hAnsi="Work Sans"/>
              </w:rPr>
              <w:t xml:space="preserve"> give an example of each.</w:t>
            </w:r>
          </w:p>
        </w:tc>
      </w:tr>
      <w:tr w:rsidR="002E5059" w:rsidRPr="00630BDF" w14:paraId="405D6986" w14:textId="77777777" w:rsidTr="7D123967">
        <w:trPr>
          <w:trHeight w:val="983"/>
        </w:trPr>
        <w:tc>
          <w:tcPr>
            <w:tcW w:w="1985" w:type="dxa"/>
            <w:vMerge w:val="restart"/>
            <w:shd w:val="clear" w:color="auto" w:fill="D9D9D9" w:themeFill="background1" w:themeFillShade="D9"/>
          </w:tcPr>
          <w:p w14:paraId="1A91A4F0" w14:textId="38DE5FDA" w:rsidR="004724B3" w:rsidRDefault="0011715C" w:rsidP="00D96360">
            <w:pPr>
              <w:rPr>
                <w:rFonts w:ascii="Work Sans" w:hAnsi="Work Sans"/>
                <w:b/>
                <w:bCs/>
              </w:rPr>
            </w:pPr>
            <w:r w:rsidRPr="00630BDF">
              <w:rPr>
                <w:rFonts w:ascii="Work Sans" w:hAnsi="Work Sans"/>
                <w:b/>
                <w:bCs/>
              </w:rPr>
              <w:t>‘</w:t>
            </w:r>
            <w:r w:rsidR="001E5565">
              <w:rPr>
                <w:rFonts w:ascii="Work Sans" w:hAnsi="Work Sans"/>
                <w:b/>
                <w:bCs/>
              </w:rPr>
              <w:t>Waste infrastructure for a resource-</w:t>
            </w:r>
            <w:r w:rsidR="001E5565">
              <w:rPr>
                <w:rFonts w:ascii="Work Sans" w:hAnsi="Work Sans"/>
                <w:b/>
                <w:bCs/>
              </w:rPr>
              <w:lastRenderedPageBreak/>
              <w:t>resilient and circular UK economy</w:t>
            </w:r>
            <w:r w:rsidR="004724B3">
              <w:rPr>
                <w:rFonts w:ascii="Work Sans" w:hAnsi="Work Sans"/>
                <w:b/>
                <w:bCs/>
              </w:rPr>
              <w:t>’</w:t>
            </w:r>
          </w:p>
          <w:p w14:paraId="72869C8D" w14:textId="77777777" w:rsidR="004724B3" w:rsidRDefault="004724B3" w:rsidP="00D96360">
            <w:pPr>
              <w:rPr>
                <w:rFonts w:ascii="Work Sans" w:hAnsi="Work Sans"/>
                <w:b/>
                <w:bCs/>
              </w:rPr>
            </w:pPr>
          </w:p>
          <w:p w14:paraId="5B588DCD" w14:textId="1FA8FB69" w:rsidR="002E5059" w:rsidRPr="00630BDF" w:rsidRDefault="0011715C" w:rsidP="00D96360">
            <w:pPr>
              <w:rPr>
                <w:rFonts w:ascii="Work Sans" w:hAnsi="Work Sans"/>
                <w:b/>
                <w:bCs/>
              </w:rPr>
            </w:pPr>
            <w:r w:rsidRPr="00630BDF">
              <w:rPr>
                <w:rFonts w:ascii="Work Sans" w:hAnsi="Work Sans"/>
                <w:b/>
                <w:bCs/>
              </w:rPr>
              <w:t>(</w:t>
            </w:r>
            <w:r w:rsidR="001E5565">
              <w:rPr>
                <w:rFonts w:ascii="Work Sans" w:hAnsi="Work Sans"/>
                <w:b/>
                <w:bCs/>
              </w:rPr>
              <w:t>Dan Cooke, p. 84</w:t>
            </w:r>
            <w:r w:rsidRPr="00630BDF">
              <w:rPr>
                <w:rFonts w:ascii="Work Sans" w:hAnsi="Work Sans"/>
                <w:b/>
                <w:bCs/>
              </w:rPr>
              <w:t>)</w:t>
            </w:r>
          </w:p>
        </w:tc>
        <w:tc>
          <w:tcPr>
            <w:tcW w:w="7513" w:type="dxa"/>
            <w:shd w:val="clear" w:color="auto" w:fill="E7E6E6" w:themeFill="background2"/>
            <w:vAlign w:val="center"/>
          </w:tcPr>
          <w:p w14:paraId="6F44E04A" w14:textId="3B4BD563" w:rsidR="002E5059" w:rsidRPr="00630BDF" w:rsidRDefault="002E5059" w:rsidP="00D96360">
            <w:pPr>
              <w:pStyle w:val="NoSpacing"/>
              <w:rPr>
                <w:rFonts w:ascii="Work Sans" w:hAnsi="Work Sans"/>
                <w:highlight w:val="yellow"/>
              </w:rPr>
            </w:pPr>
            <w:r w:rsidRPr="00630BDF">
              <w:rPr>
                <w:rFonts w:ascii="Work Sans" w:hAnsi="Work Sans"/>
                <w:b/>
                <w:bCs/>
              </w:rPr>
              <w:lastRenderedPageBreak/>
              <w:t>Article overview</w:t>
            </w:r>
            <w:r w:rsidR="004B0761" w:rsidRPr="00630BDF">
              <w:rPr>
                <w:rFonts w:ascii="Work Sans" w:hAnsi="Work Sans"/>
                <w:b/>
                <w:bCs/>
              </w:rPr>
              <w:t xml:space="preserve">: </w:t>
            </w:r>
            <w:r w:rsidR="00632550">
              <w:rPr>
                <w:rFonts w:ascii="Work Sans" w:hAnsi="Work Sans"/>
              </w:rPr>
              <w:t>In this article, the author looks at waste infrastructure in the UK, and the investment that is needed to continue</w:t>
            </w:r>
            <w:r w:rsidR="001F181F">
              <w:rPr>
                <w:rFonts w:ascii="Work Sans" w:hAnsi="Work Sans"/>
              </w:rPr>
              <w:t xml:space="preserve"> decarbonising and</w:t>
            </w:r>
            <w:r w:rsidR="00632550">
              <w:rPr>
                <w:rFonts w:ascii="Work Sans" w:hAnsi="Work Sans"/>
              </w:rPr>
              <w:t xml:space="preserve"> improving </w:t>
            </w:r>
            <w:r w:rsidR="001F181F">
              <w:rPr>
                <w:rFonts w:ascii="Work Sans" w:hAnsi="Work Sans"/>
              </w:rPr>
              <w:t>the nation’s waste footprint.</w:t>
            </w:r>
          </w:p>
        </w:tc>
      </w:tr>
      <w:tr w:rsidR="002E5059" w:rsidRPr="00630BDF" w14:paraId="7B3FBD0A" w14:textId="77777777" w:rsidTr="7D123967">
        <w:trPr>
          <w:trHeight w:val="2560"/>
        </w:trPr>
        <w:tc>
          <w:tcPr>
            <w:tcW w:w="1985" w:type="dxa"/>
            <w:vMerge/>
          </w:tcPr>
          <w:p w14:paraId="5AA61038" w14:textId="77777777" w:rsidR="002E5059" w:rsidRPr="00630BDF" w:rsidRDefault="002E5059" w:rsidP="00D96360">
            <w:pPr>
              <w:rPr>
                <w:rFonts w:ascii="Work Sans" w:hAnsi="Work Sans"/>
                <w:b/>
                <w:bCs/>
              </w:rPr>
            </w:pPr>
          </w:p>
        </w:tc>
        <w:tc>
          <w:tcPr>
            <w:tcW w:w="7513" w:type="dxa"/>
            <w:vAlign w:val="center"/>
          </w:tcPr>
          <w:p w14:paraId="42DE3879" w14:textId="51734EF3" w:rsidR="00885D7A" w:rsidRDefault="00861812" w:rsidP="00A369B1">
            <w:pPr>
              <w:pStyle w:val="ListParagraph"/>
              <w:numPr>
                <w:ilvl w:val="0"/>
                <w:numId w:val="3"/>
              </w:numPr>
              <w:rPr>
                <w:rFonts w:ascii="Work Sans" w:hAnsi="Work Sans"/>
              </w:rPr>
            </w:pPr>
            <w:r w:rsidRPr="7D123967">
              <w:rPr>
                <w:rFonts w:ascii="Work Sans" w:hAnsi="Work Sans"/>
              </w:rPr>
              <w:t xml:space="preserve">List some of the deficiencies in UK </w:t>
            </w:r>
            <w:r w:rsidR="00BB7423">
              <w:rPr>
                <w:rFonts w:ascii="Work Sans" w:hAnsi="Work Sans"/>
              </w:rPr>
              <w:t xml:space="preserve">waste </w:t>
            </w:r>
            <w:r w:rsidRPr="7D123967">
              <w:rPr>
                <w:rFonts w:ascii="Work Sans" w:hAnsi="Work Sans"/>
              </w:rPr>
              <w:t>infrastructure compared to other countries.</w:t>
            </w:r>
          </w:p>
          <w:p w14:paraId="41B201CB" w14:textId="77777777" w:rsidR="0002494B" w:rsidRDefault="00303915" w:rsidP="007348AB">
            <w:pPr>
              <w:pStyle w:val="ListParagraph"/>
              <w:numPr>
                <w:ilvl w:val="0"/>
                <w:numId w:val="3"/>
              </w:numPr>
              <w:rPr>
                <w:rFonts w:ascii="Work Sans" w:hAnsi="Work Sans"/>
              </w:rPr>
            </w:pPr>
            <w:r>
              <w:rPr>
                <w:rFonts w:ascii="Work Sans" w:hAnsi="Work Sans"/>
              </w:rPr>
              <w:t>Discuss the ways in which Landfill Tax is not functioning correct</w:t>
            </w:r>
            <w:r w:rsidR="003348AC">
              <w:rPr>
                <w:rFonts w:ascii="Work Sans" w:hAnsi="Work Sans"/>
              </w:rPr>
              <w:t>ly in its current set-up.</w:t>
            </w:r>
          </w:p>
          <w:p w14:paraId="1C2CBC47" w14:textId="3A703EB0" w:rsidR="007348AB" w:rsidRPr="007348AB" w:rsidRDefault="008C170A" w:rsidP="007348AB">
            <w:pPr>
              <w:pStyle w:val="ListParagraph"/>
              <w:numPr>
                <w:ilvl w:val="0"/>
                <w:numId w:val="3"/>
              </w:numPr>
              <w:rPr>
                <w:rFonts w:ascii="Work Sans" w:hAnsi="Work Sans"/>
              </w:rPr>
            </w:pPr>
            <w:r>
              <w:rPr>
                <w:rFonts w:ascii="Work Sans" w:hAnsi="Work Sans"/>
              </w:rPr>
              <w:t>Identify three ways that Energy from Waste (EfW) facilities are part of a sustainable waste infrastructure in the UK.</w:t>
            </w:r>
          </w:p>
        </w:tc>
      </w:tr>
    </w:tbl>
    <w:p w14:paraId="57443340" w14:textId="77777777" w:rsidR="002E5059" w:rsidRPr="00630BDF" w:rsidRDefault="002E5059" w:rsidP="002E5059">
      <w:pPr>
        <w:rPr>
          <w:rFonts w:ascii="Work Sans" w:hAnsi="Work Sans"/>
        </w:rPr>
      </w:pPr>
    </w:p>
    <w:p w14:paraId="6E6EF996" w14:textId="77777777" w:rsidR="002E5059" w:rsidRPr="00630BDF" w:rsidRDefault="002E5059" w:rsidP="002E5059">
      <w:pPr>
        <w:rPr>
          <w:rFonts w:ascii="Work Sans" w:hAnsi="Work Sans"/>
        </w:rPr>
      </w:pPr>
    </w:p>
    <w:p w14:paraId="3269D971" w14:textId="77777777" w:rsidR="002E5059" w:rsidRPr="00630BDF" w:rsidRDefault="002E5059" w:rsidP="002E5059">
      <w:pPr>
        <w:rPr>
          <w:rFonts w:ascii="Work Sans" w:hAnsi="Work Sans"/>
        </w:rPr>
      </w:pPr>
    </w:p>
    <w:p w14:paraId="21C797E6" w14:textId="77777777" w:rsidR="002E5059" w:rsidRPr="00630BDF" w:rsidRDefault="002E5059" w:rsidP="002E5059">
      <w:pPr>
        <w:rPr>
          <w:rFonts w:ascii="Work Sans" w:hAnsi="Work Sans"/>
        </w:rPr>
      </w:pPr>
    </w:p>
    <w:p w14:paraId="3D39EE1F" w14:textId="77777777" w:rsidR="00BF7C69" w:rsidRPr="00630BDF" w:rsidRDefault="00BF7C69">
      <w:pPr>
        <w:rPr>
          <w:rFonts w:ascii="Work Sans" w:hAnsi="Work Sans"/>
        </w:rPr>
      </w:pPr>
    </w:p>
    <w:sectPr w:rsidR="00BF7C69" w:rsidRPr="00630BDF" w:rsidSect="002E5059">
      <w:headerReference w:type="default" r:id="rId12"/>
      <w:pgSz w:w="11906" w:h="16838"/>
      <w:pgMar w:top="1559" w:right="127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FAF2" w14:textId="77777777" w:rsidR="00777ADB" w:rsidRDefault="00777ADB" w:rsidP="003026FC">
      <w:pPr>
        <w:spacing w:after="0" w:line="240" w:lineRule="auto"/>
      </w:pPr>
      <w:r>
        <w:separator/>
      </w:r>
    </w:p>
  </w:endnote>
  <w:endnote w:type="continuationSeparator" w:id="0">
    <w:p w14:paraId="116CB10D" w14:textId="77777777" w:rsidR="00777ADB" w:rsidRDefault="00777ADB" w:rsidP="003026FC">
      <w:pPr>
        <w:spacing w:after="0" w:line="240" w:lineRule="auto"/>
      </w:pPr>
      <w:r>
        <w:continuationSeparator/>
      </w:r>
    </w:p>
  </w:endnote>
  <w:endnote w:type="continuationNotice" w:id="1">
    <w:p w14:paraId="16962E25" w14:textId="77777777" w:rsidR="00777ADB" w:rsidRDefault="00777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zald Book">
    <w:panose1 w:val="02000504000000020004"/>
    <w:charset w:val="00"/>
    <w:family w:val="modern"/>
    <w:notTrueType/>
    <w:pitch w:val="variable"/>
    <w:sig w:usb0="A10000FF" w:usb1="5001207B" w:usb2="00000000" w:usb3="00000000" w:csb0="00000093" w:csb1="00000000"/>
  </w:font>
  <w:font w:name="Work Sans">
    <w:altName w:val="Calibri"/>
    <w:panose1 w:val="00000000000000000000"/>
    <w:charset w:val="00"/>
    <w:family w:val="auto"/>
    <w:pitch w:val="variable"/>
    <w:sig w:usb0="A00000FF" w:usb1="5000E07B" w:usb2="00000000" w:usb3="00000000" w:csb0="0000019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C878" w14:textId="77777777" w:rsidR="00777ADB" w:rsidRDefault="00777ADB" w:rsidP="003026FC">
      <w:pPr>
        <w:spacing w:after="0" w:line="240" w:lineRule="auto"/>
      </w:pPr>
      <w:r>
        <w:separator/>
      </w:r>
    </w:p>
  </w:footnote>
  <w:footnote w:type="continuationSeparator" w:id="0">
    <w:p w14:paraId="662CB4B8" w14:textId="77777777" w:rsidR="00777ADB" w:rsidRDefault="00777ADB" w:rsidP="003026FC">
      <w:pPr>
        <w:spacing w:after="0" w:line="240" w:lineRule="auto"/>
      </w:pPr>
      <w:r>
        <w:continuationSeparator/>
      </w:r>
    </w:p>
  </w:footnote>
  <w:footnote w:type="continuationNotice" w:id="1">
    <w:p w14:paraId="029E8FED" w14:textId="77777777" w:rsidR="00777ADB" w:rsidRDefault="00777A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60D5" w14:textId="7CB0E2DD" w:rsidR="002A7D5C" w:rsidRDefault="00F35269">
    <w:pPr>
      <w:pStyle w:val="Header"/>
    </w:pPr>
    <w:r>
      <w:rPr>
        <w:noProof/>
        <w14:ligatures w14:val="standardContextual"/>
      </w:rPr>
      <w:drawing>
        <wp:anchor distT="0" distB="0" distL="114300" distR="114300" simplePos="0" relativeHeight="251658241" behindDoc="0" locked="0" layoutInCell="1" allowOverlap="1" wp14:anchorId="1E2A6E33" wp14:editId="5EDE9828">
          <wp:simplePos x="0" y="0"/>
          <wp:positionH relativeFrom="column">
            <wp:posOffset>5183150</wp:posOffset>
          </wp:positionH>
          <wp:positionV relativeFrom="paragraph">
            <wp:posOffset>-142925</wp:posOffset>
          </wp:positionV>
          <wp:extent cx="1111885" cy="672465"/>
          <wp:effectExtent l="0" t="0" r="0" b="0"/>
          <wp:wrapSquare wrapText="bothSides"/>
          <wp:docPr id="1957893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93375" name="Picture 1957893375"/>
                  <pic:cNvPicPr/>
                </pic:nvPicPr>
                <pic:blipFill>
                  <a:blip r:embed="rId1">
                    <a:extLst>
                      <a:ext uri="{28A0092B-C50C-407E-A947-70E740481C1C}">
                        <a14:useLocalDpi xmlns:a14="http://schemas.microsoft.com/office/drawing/2010/main" val="0"/>
                      </a:ext>
                    </a:extLst>
                  </a:blip>
                  <a:stretch>
                    <a:fillRect/>
                  </a:stretch>
                </pic:blipFill>
                <pic:spPr>
                  <a:xfrm>
                    <a:off x="0" y="0"/>
                    <a:ext cx="1111885" cy="672465"/>
                  </a:xfrm>
                  <a:prstGeom prst="rect">
                    <a:avLst/>
                  </a:prstGeom>
                </pic:spPr>
              </pic:pic>
            </a:graphicData>
          </a:graphic>
        </wp:anchor>
      </w:drawing>
    </w:r>
    <w:r w:rsidR="009029E5">
      <w:rPr>
        <w:noProof/>
        <w14:ligatures w14:val="standardContextual"/>
      </w:rPr>
      <w:drawing>
        <wp:anchor distT="0" distB="0" distL="114300" distR="114300" simplePos="0" relativeHeight="251658240" behindDoc="0" locked="0" layoutInCell="1" allowOverlap="1" wp14:anchorId="51D8B6BF" wp14:editId="34858A50">
          <wp:simplePos x="0" y="0"/>
          <wp:positionH relativeFrom="margin">
            <wp:align>left</wp:align>
          </wp:positionH>
          <wp:positionV relativeFrom="paragraph">
            <wp:posOffset>-212090</wp:posOffset>
          </wp:positionV>
          <wp:extent cx="695325" cy="738505"/>
          <wp:effectExtent l="0" t="0" r="9525" b="4445"/>
          <wp:wrapSquare wrapText="bothSides"/>
          <wp:docPr id="1447868755" name="Picture 1447868755"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68755" name="Picture 1" descr="A logo with colorful circl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5325" cy="7385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7D1D"/>
    <w:multiLevelType w:val="hybridMultilevel"/>
    <w:tmpl w:val="F29A8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1D7A62"/>
    <w:multiLevelType w:val="hybridMultilevel"/>
    <w:tmpl w:val="E9503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1E4EC4"/>
    <w:multiLevelType w:val="hybridMultilevel"/>
    <w:tmpl w:val="1B62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67311F"/>
    <w:multiLevelType w:val="hybridMultilevel"/>
    <w:tmpl w:val="67267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1671476">
    <w:abstractNumId w:val="0"/>
  </w:num>
  <w:num w:numId="2" w16cid:durableId="1169835706">
    <w:abstractNumId w:val="1"/>
  </w:num>
  <w:num w:numId="3" w16cid:durableId="1373262442">
    <w:abstractNumId w:val="3"/>
  </w:num>
  <w:num w:numId="4" w16cid:durableId="1147553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59"/>
    <w:rsid w:val="000207A6"/>
    <w:rsid w:val="0002494B"/>
    <w:rsid w:val="000264EF"/>
    <w:rsid w:val="00026973"/>
    <w:rsid w:val="000345AA"/>
    <w:rsid w:val="00043F60"/>
    <w:rsid w:val="00054150"/>
    <w:rsid w:val="000652B6"/>
    <w:rsid w:val="00076B18"/>
    <w:rsid w:val="00087981"/>
    <w:rsid w:val="000B2310"/>
    <w:rsid w:val="000B57CC"/>
    <w:rsid w:val="000B7A86"/>
    <w:rsid w:val="000C0F33"/>
    <w:rsid w:val="000C7B8F"/>
    <w:rsid w:val="000E0742"/>
    <w:rsid w:val="000F11C7"/>
    <w:rsid w:val="000F4A7A"/>
    <w:rsid w:val="000F60F2"/>
    <w:rsid w:val="000F6B88"/>
    <w:rsid w:val="0010070A"/>
    <w:rsid w:val="001107AB"/>
    <w:rsid w:val="00112753"/>
    <w:rsid w:val="0011715C"/>
    <w:rsid w:val="00120194"/>
    <w:rsid w:val="0012116D"/>
    <w:rsid w:val="00123563"/>
    <w:rsid w:val="00133D9B"/>
    <w:rsid w:val="001346D5"/>
    <w:rsid w:val="00134DDC"/>
    <w:rsid w:val="00144BBD"/>
    <w:rsid w:val="00150097"/>
    <w:rsid w:val="00153E28"/>
    <w:rsid w:val="001558F7"/>
    <w:rsid w:val="00167CF9"/>
    <w:rsid w:val="00171D24"/>
    <w:rsid w:val="00174596"/>
    <w:rsid w:val="00184C37"/>
    <w:rsid w:val="00184E79"/>
    <w:rsid w:val="00187F06"/>
    <w:rsid w:val="00191B3C"/>
    <w:rsid w:val="00194766"/>
    <w:rsid w:val="001A0B27"/>
    <w:rsid w:val="001A16B0"/>
    <w:rsid w:val="001D7CBF"/>
    <w:rsid w:val="001E19AB"/>
    <w:rsid w:val="001E4547"/>
    <w:rsid w:val="001E5565"/>
    <w:rsid w:val="001F181F"/>
    <w:rsid w:val="00203288"/>
    <w:rsid w:val="002074E8"/>
    <w:rsid w:val="002118FE"/>
    <w:rsid w:val="00220B62"/>
    <w:rsid w:val="00221985"/>
    <w:rsid w:val="002224DC"/>
    <w:rsid w:val="00226271"/>
    <w:rsid w:val="002353AC"/>
    <w:rsid w:val="00272511"/>
    <w:rsid w:val="00275C58"/>
    <w:rsid w:val="002A1EEB"/>
    <w:rsid w:val="002A7D5C"/>
    <w:rsid w:val="002B297D"/>
    <w:rsid w:val="002B6D2D"/>
    <w:rsid w:val="002C6BE2"/>
    <w:rsid w:val="002C6C15"/>
    <w:rsid w:val="002D321B"/>
    <w:rsid w:val="002D5039"/>
    <w:rsid w:val="002E33BB"/>
    <w:rsid w:val="002E401C"/>
    <w:rsid w:val="002E5059"/>
    <w:rsid w:val="002E753D"/>
    <w:rsid w:val="002F5A6D"/>
    <w:rsid w:val="00301943"/>
    <w:rsid w:val="003026FC"/>
    <w:rsid w:val="003033DC"/>
    <w:rsid w:val="00303915"/>
    <w:rsid w:val="00306BF7"/>
    <w:rsid w:val="003130E6"/>
    <w:rsid w:val="00315E34"/>
    <w:rsid w:val="00321B7E"/>
    <w:rsid w:val="00321D22"/>
    <w:rsid w:val="00323BF7"/>
    <w:rsid w:val="003348AC"/>
    <w:rsid w:val="003378D7"/>
    <w:rsid w:val="0034272C"/>
    <w:rsid w:val="00343315"/>
    <w:rsid w:val="003444B1"/>
    <w:rsid w:val="00347831"/>
    <w:rsid w:val="0036280D"/>
    <w:rsid w:val="00363878"/>
    <w:rsid w:val="0036521C"/>
    <w:rsid w:val="0037685D"/>
    <w:rsid w:val="0038625B"/>
    <w:rsid w:val="003A2BC6"/>
    <w:rsid w:val="003A3F98"/>
    <w:rsid w:val="003C5CEA"/>
    <w:rsid w:val="003D0414"/>
    <w:rsid w:val="003D6112"/>
    <w:rsid w:val="003D6A42"/>
    <w:rsid w:val="003E0DEE"/>
    <w:rsid w:val="003F61AA"/>
    <w:rsid w:val="00401F43"/>
    <w:rsid w:val="004065B7"/>
    <w:rsid w:val="00417365"/>
    <w:rsid w:val="0042033A"/>
    <w:rsid w:val="004213A8"/>
    <w:rsid w:val="00427EF2"/>
    <w:rsid w:val="00440D4C"/>
    <w:rsid w:val="00446DC5"/>
    <w:rsid w:val="00462B20"/>
    <w:rsid w:val="004641F7"/>
    <w:rsid w:val="004670C9"/>
    <w:rsid w:val="004670F8"/>
    <w:rsid w:val="004724B3"/>
    <w:rsid w:val="00474819"/>
    <w:rsid w:val="00484B7B"/>
    <w:rsid w:val="00491D75"/>
    <w:rsid w:val="00492436"/>
    <w:rsid w:val="004A40D5"/>
    <w:rsid w:val="004B0761"/>
    <w:rsid w:val="004D1D8D"/>
    <w:rsid w:val="0050667D"/>
    <w:rsid w:val="005138E1"/>
    <w:rsid w:val="0052551A"/>
    <w:rsid w:val="00531B75"/>
    <w:rsid w:val="00537F9E"/>
    <w:rsid w:val="00545646"/>
    <w:rsid w:val="005536FA"/>
    <w:rsid w:val="00560F94"/>
    <w:rsid w:val="00561C25"/>
    <w:rsid w:val="0057295B"/>
    <w:rsid w:val="0057443B"/>
    <w:rsid w:val="00585947"/>
    <w:rsid w:val="00590C43"/>
    <w:rsid w:val="005924AD"/>
    <w:rsid w:val="00596C0A"/>
    <w:rsid w:val="00596DDC"/>
    <w:rsid w:val="005A560B"/>
    <w:rsid w:val="005B0D32"/>
    <w:rsid w:val="005B42B8"/>
    <w:rsid w:val="005B5E9A"/>
    <w:rsid w:val="005B67C6"/>
    <w:rsid w:val="005C0633"/>
    <w:rsid w:val="005C4A45"/>
    <w:rsid w:val="005D0820"/>
    <w:rsid w:val="005D1891"/>
    <w:rsid w:val="005D2B52"/>
    <w:rsid w:val="005F126F"/>
    <w:rsid w:val="005F19DE"/>
    <w:rsid w:val="005F2E04"/>
    <w:rsid w:val="00602520"/>
    <w:rsid w:val="00610C75"/>
    <w:rsid w:val="0061731E"/>
    <w:rsid w:val="0062635B"/>
    <w:rsid w:val="00630BDF"/>
    <w:rsid w:val="00632550"/>
    <w:rsid w:val="006336C2"/>
    <w:rsid w:val="006365EA"/>
    <w:rsid w:val="00647B2F"/>
    <w:rsid w:val="00647F5D"/>
    <w:rsid w:val="006507FC"/>
    <w:rsid w:val="00651007"/>
    <w:rsid w:val="006709F7"/>
    <w:rsid w:val="0069292B"/>
    <w:rsid w:val="006975D1"/>
    <w:rsid w:val="006A0FA4"/>
    <w:rsid w:val="006A1969"/>
    <w:rsid w:val="006B0F33"/>
    <w:rsid w:val="006B6FCB"/>
    <w:rsid w:val="006C2090"/>
    <w:rsid w:val="006D11FB"/>
    <w:rsid w:val="006D794D"/>
    <w:rsid w:val="00705AFA"/>
    <w:rsid w:val="00725D60"/>
    <w:rsid w:val="00725F51"/>
    <w:rsid w:val="00731289"/>
    <w:rsid w:val="00732A75"/>
    <w:rsid w:val="007348AB"/>
    <w:rsid w:val="00743055"/>
    <w:rsid w:val="007577D3"/>
    <w:rsid w:val="00761AFB"/>
    <w:rsid w:val="00777ADB"/>
    <w:rsid w:val="00782C74"/>
    <w:rsid w:val="00795675"/>
    <w:rsid w:val="007A42ED"/>
    <w:rsid w:val="007B129B"/>
    <w:rsid w:val="007B1453"/>
    <w:rsid w:val="007B326F"/>
    <w:rsid w:val="007B79FC"/>
    <w:rsid w:val="007C4BF9"/>
    <w:rsid w:val="007D67F8"/>
    <w:rsid w:val="007E2943"/>
    <w:rsid w:val="007F3FC4"/>
    <w:rsid w:val="007F500D"/>
    <w:rsid w:val="00801586"/>
    <w:rsid w:val="0080378C"/>
    <w:rsid w:val="0081057B"/>
    <w:rsid w:val="008107A6"/>
    <w:rsid w:val="00830BB2"/>
    <w:rsid w:val="008323C9"/>
    <w:rsid w:val="0083728A"/>
    <w:rsid w:val="00861812"/>
    <w:rsid w:val="00884B91"/>
    <w:rsid w:val="00885D7A"/>
    <w:rsid w:val="00893BEE"/>
    <w:rsid w:val="008A6211"/>
    <w:rsid w:val="008C170A"/>
    <w:rsid w:val="008D206B"/>
    <w:rsid w:val="008E4588"/>
    <w:rsid w:val="008F0EB6"/>
    <w:rsid w:val="008F419D"/>
    <w:rsid w:val="008F5206"/>
    <w:rsid w:val="008F59F6"/>
    <w:rsid w:val="009000D4"/>
    <w:rsid w:val="009029E5"/>
    <w:rsid w:val="00906BF5"/>
    <w:rsid w:val="00917743"/>
    <w:rsid w:val="009178B7"/>
    <w:rsid w:val="009223E4"/>
    <w:rsid w:val="00924426"/>
    <w:rsid w:val="009427B7"/>
    <w:rsid w:val="009448DB"/>
    <w:rsid w:val="009632BF"/>
    <w:rsid w:val="009656A7"/>
    <w:rsid w:val="00965FF2"/>
    <w:rsid w:val="00967F89"/>
    <w:rsid w:val="00971A7B"/>
    <w:rsid w:val="00974D1C"/>
    <w:rsid w:val="00981D14"/>
    <w:rsid w:val="00985955"/>
    <w:rsid w:val="00990B94"/>
    <w:rsid w:val="00990E6B"/>
    <w:rsid w:val="009A0807"/>
    <w:rsid w:val="009A1920"/>
    <w:rsid w:val="009B70C1"/>
    <w:rsid w:val="009B7141"/>
    <w:rsid w:val="009C7413"/>
    <w:rsid w:val="009D33CF"/>
    <w:rsid w:val="009E78FF"/>
    <w:rsid w:val="009F04F8"/>
    <w:rsid w:val="00A01B01"/>
    <w:rsid w:val="00A04533"/>
    <w:rsid w:val="00A10BEC"/>
    <w:rsid w:val="00A114DF"/>
    <w:rsid w:val="00A13417"/>
    <w:rsid w:val="00A1554B"/>
    <w:rsid w:val="00A16813"/>
    <w:rsid w:val="00A2629E"/>
    <w:rsid w:val="00A27577"/>
    <w:rsid w:val="00A305AC"/>
    <w:rsid w:val="00A33EF8"/>
    <w:rsid w:val="00A369B1"/>
    <w:rsid w:val="00A45513"/>
    <w:rsid w:val="00A535C2"/>
    <w:rsid w:val="00A7153B"/>
    <w:rsid w:val="00A75196"/>
    <w:rsid w:val="00A94621"/>
    <w:rsid w:val="00AA1E39"/>
    <w:rsid w:val="00AA4909"/>
    <w:rsid w:val="00AA491C"/>
    <w:rsid w:val="00AB2A55"/>
    <w:rsid w:val="00AB704F"/>
    <w:rsid w:val="00AD3FF5"/>
    <w:rsid w:val="00AE0CC4"/>
    <w:rsid w:val="00AE21AB"/>
    <w:rsid w:val="00AE572A"/>
    <w:rsid w:val="00B07AE7"/>
    <w:rsid w:val="00B17317"/>
    <w:rsid w:val="00B21AC5"/>
    <w:rsid w:val="00B4006E"/>
    <w:rsid w:val="00B47609"/>
    <w:rsid w:val="00B51088"/>
    <w:rsid w:val="00B52BCF"/>
    <w:rsid w:val="00B7537F"/>
    <w:rsid w:val="00B84FBC"/>
    <w:rsid w:val="00B91D28"/>
    <w:rsid w:val="00B95891"/>
    <w:rsid w:val="00BA03FA"/>
    <w:rsid w:val="00BA0579"/>
    <w:rsid w:val="00BA6DC9"/>
    <w:rsid w:val="00BA7B98"/>
    <w:rsid w:val="00BB6E26"/>
    <w:rsid w:val="00BB7423"/>
    <w:rsid w:val="00BC1B33"/>
    <w:rsid w:val="00BC35B9"/>
    <w:rsid w:val="00BD1866"/>
    <w:rsid w:val="00BD5A1C"/>
    <w:rsid w:val="00BD72AD"/>
    <w:rsid w:val="00BE304D"/>
    <w:rsid w:val="00BF0CEA"/>
    <w:rsid w:val="00BF7C69"/>
    <w:rsid w:val="00C27D78"/>
    <w:rsid w:val="00C36341"/>
    <w:rsid w:val="00C372F0"/>
    <w:rsid w:val="00C47793"/>
    <w:rsid w:val="00C55405"/>
    <w:rsid w:val="00C60815"/>
    <w:rsid w:val="00C9181E"/>
    <w:rsid w:val="00C97892"/>
    <w:rsid w:val="00CD07BB"/>
    <w:rsid w:val="00CD6F7F"/>
    <w:rsid w:val="00CD71E5"/>
    <w:rsid w:val="00CF27E4"/>
    <w:rsid w:val="00CF3D04"/>
    <w:rsid w:val="00CF4B5D"/>
    <w:rsid w:val="00D10F79"/>
    <w:rsid w:val="00D129EA"/>
    <w:rsid w:val="00D20B35"/>
    <w:rsid w:val="00D24332"/>
    <w:rsid w:val="00D50ADB"/>
    <w:rsid w:val="00D575AC"/>
    <w:rsid w:val="00D7279B"/>
    <w:rsid w:val="00D96360"/>
    <w:rsid w:val="00DA0546"/>
    <w:rsid w:val="00DA26DE"/>
    <w:rsid w:val="00DE4851"/>
    <w:rsid w:val="00DE4AE9"/>
    <w:rsid w:val="00E0189C"/>
    <w:rsid w:val="00E05AED"/>
    <w:rsid w:val="00E33C8A"/>
    <w:rsid w:val="00E445E0"/>
    <w:rsid w:val="00E47331"/>
    <w:rsid w:val="00E575D7"/>
    <w:rsid w:val="00E679CD"/>
    <w:rsid w:val="00E924CE"/>
    <w:rsid w:val="00EB067C"/>
    <w:rsid w:val="00EB7D35"/>
    <w:rsid w:val="00ED4AFD"/>
    <w:rsid w:val="00F100F5"/>
    <w:rsid w:val="00F10B31"/>
    <w:rsid w:val="00F1432B"/>
    <w:rsid w:val="00F222AF"/>
    <w:rsid w:val="00F23DAA"/>
    <w:rsid w:val="00F2612A"/>
    <w:rsid w:val="00F30629"/>
    <w:rsid w:val="00F31742"/>
    <w:rsid w:val="00F35269"/>
    <w:rsid w:val="00F52D80"/>
    <w:rsid w:val="00F5688A"/>
    <w:rsid w:val="00F6316F"/>
    <w:rsid w:val="00F717D4"/>
    <w:rsid w:val="00F86980"/>
    <w:rsid w:val="00F87DD6"/>
    <w:rsid w:val="00F97FD7"/>
    <w:rsid w:val="00FB0532"/>
    <w:rsid w:val="00FE56D6"/>
    <w:rsid w:val="00FF157E"/>
    <w:rsid w:val="00FF4F15"/>
    <w:rsid w:val="00FF5DB0"/>
    <w:rsid w:val="03CF4151"/>
    <w:rsid w:val="04F5EAA8"/>
    <w:rsid w:val="07E5716C"/>
    <w:rsid w:val="07FE7936"/>
    <w:rsid w:val="09D2F295"/>
    <w:rsid w:val="0A8C7CD7"/>
    <w:rsid w:val="149406C7"/>
    <w:rsid w:val="19A9E3AA"/>
    <w:rsid w:val="19AD2096"/>
    <w:rsid w:val="2A035C90"/>
    <w:rsid w:val="2B29020B"/>
    <w:rsid w:val="349B8887"/>
    <w:rsid w:val="3555FD7F"/>
    <w:rsid w:val="36B6FE4E"/>
    <w:rsid w:val="3A419424"/>
    <w:rsid w:val="46F03045"/>
    <w:rsid w:val="502DBA26"/>
    <w:rsid w:val="5C68FF28"/>
    <w:rsid w:val="60BDA4D7"/>
    <w:rsid w:val="65B18A81"/>
    <w:rsid w:val="7D1239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07BF9"/>
  <w15:chartTrackingRefBased/>
  <w15:docId w15:val="{2DF77214-253D-4695-86D9-C288C0DA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059"/>
    <w:rPr>
      <w:kern w:val="0"/>
      <w14:ligatures w14:val="none"/>
    </w:rPr>
  </w:style>
  <w:style w:type="paragraph" w:styleId="Heading1">
    <w:name w:val="heading 1"/>
    <w:basedOn w:val="Normal"/>
    <w:next w:val="Normal"/>
    <w:link w:val="Heading1Char"/>
    <w:uiPriority w:val="9"/>
    <w:qFormat/>
    <w:rsid w:val="002E5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5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5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5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059"/>
    <w:rPr>
      <w:rFonts w:eastAsiaTheme="majorEastAsia" w:cstheme="majorBidi"/>
      <w:color w:val="272727" w:themeColor="text1" w:themeTint="D8"/>
    </w:rPr>
  </w:style>
  <w:style w:type="paragraph" w:styleId="Title">
    <w:name w:val="Title"/>
    <w:basedOn w:val="Normal"/>
    <w:next w:val="Normal"/>
    <w:link w:val="TitleChar"/>
    <w:uiPriority w:val="10"/>
    <w:qFormat/>
    <w:rsid w:val="002E5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059"/>
    <w:pPr>
      <w:spacing w:before="160"/>
      <w:jc w:val="center"/>
    </w:pPr>
    <w:rPr>
      <w:i/>
      <w:iCs/>
      <w:color w:val="404040" w:themeColor="text1" w:themeTint="BF"/>
    </w:rPr>
  </w:style>
  <w:style w:type="character" w:customStyle="1" w:styleId="QuoteChar">
    <w:name w:val="Quote Char"/>
    <w:basedOn w:val="DefaultParagraphFont"/>
    <w:link w:val="Quote"/>
    <w:uiPriority w:val="29"/>
    <w:rsid w:val="002E5059"/>
    <w:rPr>
      <w:i/>
      <w:iCs/>
      <w:color w:val="404040" w:themeColor="text1" w:themeTint="BF"/>
    </w:rPr>
  </w:style>
  <w:style w:type="paragraph" w:styleId="ListParagraph">
    <w:name w:val="List Paragraph"/>
    <w:basedOn w:val="Normal"/>
    <w:uiPriority w:val="34"/>
    <w:qFormat/>
    <w:rsid w:val="002E5059"/>
    <w:pPr>
      <w:ind w:left="720"/>
      <w:contextualSpacing/>
    </w:pPr>
  </w:style>
  <w:style w:type="character" w:styleId="IntenseEmphasis">
    <w:name w:val="Intense Emphasis"/>
    <w:basedOn w:val="DefaultParagraphFont"/>
    <w:uiPriority w:val="21"/>
    <w:qFormat/>
    <w:rsid w:val="002E5059"/>
    <w:rPr>
      <w:i/>
      <w:iCs/>
      <w:color w:val="2F5496" w:themeColor="accent1" w:themeShade="BF"/>
    </w:rPr>
  </w:style>
  <w:style w:type="paragraph" w:styleId="IntenseQuote">
    <w:name w:val="Intense Quote"/>
    <w:basedOn w:val="Normal"/>
    <w:next w:val="Normal"/>
    <w:link w:val="IntenseQuoteChar"/>
    <w:uiPriority w:val="30"/>
    <w:qFormat/>
    <w:rsid w:val="002E5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059"/>
    <w:rPr>
      <w:i/>
      <w:iCs/>
      <w:color w:val="2F5496" w:themeColor="accent1" w:themeShade="BF"/>
    </w:rPr>
  </w:style>
  <w:style w:type="character" w:styleId="IntenseReference">
    <w:name w:val="Intense Reference"/>
    <w:basedOn w:val="DefaultParagraphFont"/>
    <w:uiPriority w:val="32"/>
    <w:qFormat/>
    <w:rsid w:val="002E5059"/>
    <w:rPr>
      <w:b/>
      <w:bCs/>
      <w:smallCaps/>
      <w:color w:val="2F5496" w:themeColor="accent1" w:themeShade="BF"/>
      <w:spacing w:val="5"/>
    </w:rPr>
  </w:style>
  <w:style w:type="table" w:styleId="TableGrid">
    <w:name w:val="Table Grid"/>
    <w:basedOn w:val="TableNormal"/>
    <w:uiPriority w:val="39"/>
    <w:rsid w:val="002E50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5059"/>
    <w:pPr>
      <w:spacing w:after="0" w:line="240" w:lineRule="auto"/>
    </w:pPr>
    <w:rPr>
      <w:kern w:val="0"/>
      <w14:ligatures w14:val="none"/>
    </w:rPr>
  </w:style>
  <w:style w:type="character" w:styleId="Hyperlink">
    <w:name w:val="Hyperlink"/>
    <w:basedOn w:val="DefaultParagraphFont"/>
    <w:uiPriority w:val="99"/>
    <w:unhideWhenUsed/>
    <w:rsid w:val="002E5059"/>
    <w:rPr>
      <w:color w:val="0000FF"/>
      <w:u w:val="single"/>
    </w:rPr>
  </w:style>
  <w:style w:type="paragraph" w:styleId="Header">
    <w:name w:val="header"/>
    <w:basedOn w:val="Normal"/>
    <w:link w:val="HeaderChar"/>
    <w:uiPriority w:val="99"/>
    <w:unhideWhenUsed/>
    <w:rsid w:val="002E5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059"/>
    <w:rPr>
      <w:kern w:val="0"/>
      <w14:ligatures w14:val="none"/>
    </w:rPr>
  </w:style>
  <w:style w:type="character" w:styleId="UnresolvedMention">
    <w:name w:val="Unresolved Mention"/>
    <w:basedOn w:val="DefaultParagraphFont"/>
    <w:uiPriority w:val="99"/>
    <w:semiHidden/>
    <w:unhideWhenUsed/>
    <w:rsid w:val="00531B75"/>
    <w:rPr>
      <w:color w:val="605E5C"/>
      <w:shd w:val="clear" w:color="auto" w:fill="E1DFDD"/>
    </w:rPr>
  </w:style>
  <w:style w:type="character" w:styleId="FollowedHyperlink">
    <w:name w:val="FollowedHyperlink"/>
    <w:basedOn w:val="DefaultParagraphFont"/>
    <w:uiPriority w:val="99"/>
    <w:semiHidden/>
    <w:unhideWhenUsed/>
    <w:rsid w:val="003378D7"/>
    <w:rPr>
      <w:color w:val="954F72" w:themeColor="followedHyperlink"/>
      <w:u w:val="single"/>
    </w:rPr>
  </w:style>
  <w:style w:type="paragraph" w:styleId="Footer">
    <w:name w:val="footer"/>
    <w:basedOn w:val="Normal"/>
    <w:link w:val="FooterChar"/>
    <w:uiPriority w:val="99"/>
    <w:unhideWhenUsed/>
    <w:rsid w:val="00302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6FC"/>
    <w:rPr>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029E5"/>
    <w:pPr>
      <w:spacing w:after="0" w:line="240" w:lineRule="auto"/>
    </w:pPr>
    <w:rPr>
      <w:kern w:val="0"/>
      <w14:ligatures w14:val="none"/>
    </w:rPr>
  </w:style>
  <w:style w:type="paragraph" w:styleId="NormalWeb">
    <w:name w:val="Normal (Web)"/>
    <w:basedOn w:val="Normal"/>
    <w:uiPriority w:val="99"/>
    <w:unhideWhenUsed/>
    <w:rsid w:val="00630B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9853">
      <w:bodyDiv w:val="1"/>
      <w:marLeft w:val="0"/>
      <w:marRight w:val="0"/>
      <w:marTop w:val="0"/>
      <w:marBottom w:val="0"/>
      <w:divBdr>
        <w:top w:val="none" w:sz="0" w:space="0" w:color="auto"/>
        <w:left w:val="none" w:sz="0" w:space="0" w:color="auto"/>
        <w:bottom w:val="none" w:sz="0" w:space="0" w:color="auto"/>
        <w:right w:val="none" w:sz="0" w:space="0" w:color="auto"/>
      </w:divBdr>
    </w:div>
    <w:div w:id="18835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ies.org/resources/under-construction-delivering-better-infrastructur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CBEE1702AD04E9E39FB20318EB1B8" ma:contentTypeVersion="19" ma:contentTypeDescription="Create a new document." ma:contentTypeScope="" ma:versionID="11aca2f6f5c735525057a58e1f285070">
  <xsd:schema xmlns:xsd="http://www.w3.org/2001/XMLSchema" xmlns:xs="http://www.w3.org/2001/XMLSchema" xmlns:p="http://schemas.microsoft.com/office/2006/metadata/properties" xmlns:ns2="af2531c7-eb33-48be-9889-ee787ffa7851" xmlns:ns3="36d7926d-c934-413c-9e6d-038f771d3aae" targetNamespace="http://schemas.microsoft.com/office/2006/metadata/properties" ma:root="true" ma:fieldsID="b029af9efe89402f0e62787dc94f6d68" ns2:_="" ns3:_="">
    <xsd:import namespace="af2531c7-eb33-48be-9889-ee787ffa7851"/>
    <xsd:import namespace="36d7926d-c934-413c-9e6d-038f771d3a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531c7-eb33-48be-9889-ee787ffa7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7926d-c934-413c-9e6d-038f771d3a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7845a0-c36c-4b7a-8df5-0d2d7e2599f0}" ma:internalName="TaxCatchAll" ma:showField="CatchAllData" ma:web="36d7926d-c934-413c-9e6d-038f771d3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531c7-eb33-48be-9889-ee787ffa7851">
      <Terms xmlns="http://schemas.microsoft.com/office/infopath/2007/PartnerControls"/>
    </lcf76f155ced4ddcb4097134ff3c332f>
    <TaxCatchAll xmlns="36d7926d-c934-413c-9e6d-038f771d3aae" xsi:nil="true"/>
  </documentManagement>
</p:properties>
</file>

<file path=customXml/itemProps1.xml><?xml version="1.0" encoding="utf-8"?>
<ds:datastoreItem xmlns:ds="http://schemas.openxmlformats.org/officeDocument/2006/customXml" ds:itemID="{52B57F8A-4276-4F37-AD4F-263110616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531c7-eb33-48be-9889-ee787ffa7851"/>
    <ds:schemaRef ds:uri="36d7926d-c934-413c-9e6d-038f771d3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2A527-F327-42C6-BFE9-732C5D68C5E0}">
  <ds:schemaRefs>
    <ds:schemaRef ds:uri="http://schemas.microsoft.com/sharepoint/v3/contenttype/forms"/>
  </ds:schemaRefs>
</ds:datastoreItem>
</file>

<file path=customXml/itemProps3.xml><?xml version="1.0" encoding="utf-8"?>
<ds:datastoreItem xmlns:ds="http://schemas.openxmlformats.org/officeDocument/2006/customXml" ds:itemID="{A8C887F2-00B6-4576-BA7C-1852054F2347}">
  <ds:schemaRefs>
    <ds:schemaRef ds:uri="http://schemas.microsoft.com/office/2006/metadata/properties"/>
    <ds:schemaRef ds:uri="http://schemas.microsoft.com/office/infopath/2007/PartnerControls"/>
    <ds:schemaRef ds:uri="af2531c7-eb33-48be-9889-ee787ffa7851"/>
    <ds:schemaRef ds:uri="36d7926d-c934-413c-9e6d-038f771d3aa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Rowland</dc:creator>
  <cp:keywords/>
  <dc:description/>
  <cp:lastModifiedBy>Lucy Rowland</cp:lastModifiedBy>
  <cp:revision>64</cp:revision>
  <dcterms:created xsi:type="dcterms:W3CDTF">2026-01-07T12:34:00Z</dcterms:created>
  <dcterms:modified xsi:type="dcterms:W3CDTF">2026-06-12T09:23:00Z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0x010100D50CBEE1702AD04E9E39FB20318EB1B8</vt:lpwstr>
  </property>
  <property fmtid="{D5CDD505-2E9C-101B-9397-08002B2CF9AE}" pid="3" name="MediaServiceImageTags">
    <vt:lpwstr/>
  </property>
</Properties>
</file>