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DCC9" w14:textId="02D735C4" w:rsidR="00B4097E" w:rsidRPr="00B76C91" w:rsidRDefault="00B4097E" w:rsidP="00B4097E">
      <w:pPr>
        <w:jc w:val="center"/>
        <w:rPr>
          <w:b/>
          <w:bCs/>
          <w:color w:val="B84809"/>
          <w:sz w:val="28"/>
          <w:szCs w:val="28"/>
        </w:rPr>
      </w:pPr>
      <w:r>
        <w:rPr>
          <w:b/>
          <w:bCs/>
          <w:i/>
          <w:iCs/>
          <w:color w:val="B84809"/>
          <w:sz w:val="28"/>
          <w:szCs w:val="28"/>
        </w:rPr>
        <w:softHyphen/>
      </w:r>
      <w:r>
        <w:rPr>
          <w:b/>
          <w:bCs/>
          <w:i/>
          <w:iCs/>
          <w:color w:val="B84809"/>
          <w:sz w:val="28"/>
          <w:szCs w:val="28"/>
        </w:rPr>
        <w:softHyphen/>
      </w:r>
      <w:r>
        <w:rPr>
          <w:b/>
          <w:bCs/>
          <w:i/>
          <w:iCs/>
          <w:color w:val="B84809"/>
          <w:sz w:val="28"/>
          <w:szCs w:val="28"/>
        </w:rPr>
        <w:softHyphen/>
      </w:r>
      <w:r w:rsidRPr="00B76C91">
        <w:rPr>
          <w:b/>
          <w:bCs/>
          <w:i/>
          <w:iCs/>
          <w:color w:val="B84809"/>
          <w:sz w:val="28"/>
          <w:szCs w:val="28"/>
        </w:rPr>
        <w:t>environmental SCIENTIST</w:t>
      </w:r>
      <w:r w:rsidRPr="00B76C91">
        <w:rPr>
          <w:b/>
          <w:bCs/>
          <w:color w:val="B84809"/>
          <w:sz w:val="28"/>
          <w:szCs w:val="28"/>
        </w:rPr>
        <w:t xml:space="preserve"> journal: </w:t>
      </w:r>
      <w:r>
        <w:rPr>
          <w:b/>
          <w:bCs/>
          <w:color w:val="B84809"/>
          <w:sz w:val="28"/>
          <w:szCs w:val="28"/>
        </w:rPr>
        <w:t>L</w:t>
      </w:r>
      <w:r w:rsidRPr="00B76C91">
        <w:rPr>
          <w:b/>
          <w:bCs/>
          <w:color w:val="B84809"/>
          <w:sz w:val="28"/>
          <w:szCs w:val="28"/>
        </w:rPr>
        <w:t xml:space="preserve">earning </w:t>
      </w:r>
      <w:r>
        <w:rPr>
          <w:b/>
          <w:bCs/>
          <w:color w:val="B84809"/>
          <w:sz w:val="28"/>
          <w:szCs w:val="28"/>
        </w:rPr>
        <w:t>R</w:t>
      </w:r>
      <w:r w:rsidRPr="00B76C91">
        <w:rPr>
          <w:b/>
          <w:bCs/>
          <w:color w:val="B84809"/>
          <w:sz w:val="28"/>
          <w:szCs w:val="28"/>
        </w:rPr>
        <w:t xml:space="preserve">esource </w:t>
      </w:r>
      <w:r>
        <w:rPr>
          <w:b/>
          <w:bCs/>
          <w:color w:val="B84809"/>
          <w:sz w:val="28"/>
          <w:szCs w:val="28"/>
        </w:rPr>
        <w:t>N</w:t>
      </w:r>
      <w:r w:rsidRPr="00B76C91">
        <w:rPr>
          <w:b/>
          <w:bCs/>
          <w:color w:val="B84809"/>
          <w:sz w:val="28"/>
          <w:szCs w:val="28"/>
        </w:rPr>
        <w:t>otes</w:t>
      </w:r>
    </w:p>
    <w:p w14:paraId="62A0BF51" w14:textId="77777777" w:rsidR="00B4097E" w:rsidRDefault="00B4097E" w:rsidP="00B4097E">
      <w:pPr>
        <w:pStyle w:val="NoSpacing"/>
        <w:jc w:val="both"/>
      </w:pPr>
      <w:r w:rsidRPr="00707821">
        <w:t xml:space="preserve">The purpose of </w:t>
      </w:r>
      <w:r>
        <w:t>these educational resource</w:t>
      </w:r>
      <w:r w:rsidRPr="00707821">
        <w:t xml:space="preserve"> </w:t>
      </w:r>
      <w:r>
        <w:t xml:space="preserve">notes </w:t>
      </w:r>
      <w:r w:rsidRPr="00707821">
        <w:t>is to provide a format for informal, seminar-style discussions of the topics explored</w:t>
      </w:r>
      <w:r>
        <w:t xml:space="preserve"> in the latest edition of the journal of the Institution of Environmental Sciences. </w:t>
      </w:r>
    </w:p>
    <w:p w14:paraId="4BD87E63" w14:textId="77777777" w:rsidR="00B4097E" w:rsidRDefault="00B4097E" w:rsidP="00B4097E">
      <w:pPr>
        <w:pStyle w:val="NoSpacing"/>
        <w:jc w:val="both"/>
      </w:pPr>
      <w:r>
        <w:t xml:space="preserve"> </w:t>
      </w:r>
    </w:p>
    <w:p w14:paraId="4B756E63" w14:textId="77777777" w:rsidR="00B4097E" w:rsidRDefault="00B4097E" w:rsidP="00B4097E">
      <w:pPr>
        <w:pStyle w:val="NoSpacing"/>
        <w:jc w:val="both"/>
      </w:pPr>
      <w:r>
        <w:t>T</w:t>
      </w:r>
      <w:r w:rsidRPr="00707821">
        <w:t>hrough discussion of the ideas and issues presented</w:t>
      </w:r>
      <w:r>
        <w:t xml:space="preserve"> within the journal</w:t>
      </w:r>
      <w:r w:rsidRPr="00707821">
        <w:t xml:space="preserve">, </w:t>
      </w:r>
      <w:r>
        <w:t xml:space="preserve">they </w:t>
      </w:r>
      <w:r w:rsidRPr="00707821">
        <w:t xml:space="preserve">aim to supplement and enhance students’ knowledge and understanding </w:t>
      </w:r>
      <w:r>
        <w:t>of</w:t>
      </w:r>
      <w:r w:rsidRPr="00707821">
        <w:t xml:space="preserve"> a broad range of environmental science issues</w:t>
      </w:r>
      <w:r>
        <w:t xml:space="preserve"> and provide insights into the professional concerns of practising environmental scientists.</w:t>
      </w:r>
    </w:p>
    <w:p w14:paraId="73189E4F" w14:textId="77777777" w:rsidR="00B4097E" w:rsidRDefault="00B4097E" w:rsidP="00B4097E">
      <w:pPr>
        <w:pStyle w:val="NoSpacing"/>
        <w:rPr>
          <w:b/>
          <w:bCs/>
        </w:rPr>
      </w:pPr>
    </w:p>
    <w:p w14:paraId="127E2E72" w14:textId="77777777" w:rsidR="00B4097E" w:rsidRPr="00D33F67" w:rsidRDefault="00B4097E" w:rsidP="00B4097E">
      <w:pPr>
        <w:pStyle w:val="NoSpacing"/>
        <w:rPr>
          <w:b/>
          <w:bCs/>
        </w:rPr>
      </w:pPr>
      <w:r w:rsidRPr="00D33F67">
        <w:rPr>
          <w:b/>
          <w:bCs/>
        </w:rPr>
        <w:t>Articles in focus</w:t>
      </w:r>
      <w:r>
        <w:rPr>
          <w:b/>
          <w:bCs/>
        </w:rPr>
        <w:t xml:space="preserve"> </w:t>
      </w:r>
    </w:p>
    <w:p w14:paraId="0DC874B4" w14:textId="77777777" w:rsidR="00B4097E" w:rsidRPr="00D33F67" w:rsidRDefault="00B4097E" w:rsidP="00B4097E">
      <w:pPr>
        <w:pStyle w:val="NoSpacing"/>
        <w:jc w:val="both"/>
        <w:rPr>
          <w:color w:val="000000"/>
        </w:rPr>
      </w:pPr>
      <w:r>
        <w:t>The below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5E31D416" w14:textId="77777777" w:rsidR="00B4097E" w:rsidRDefault="00B4097E" w:rsidP="00B4097E">
      <w:pPr>
        <w:pStyle w:val="NoSpacing"/>
      </w:pPr>
    </w:p>
    <w:tbl>
      <w:tblPr>
        <w:tblStyle w:val="TableGrid"/>
        <w:tblW w:w="9498" w:type="dxa"/>
        <w:tblInd w:w="-5" w:type="dxa"/>
        <w:tblLook w:val="04A0" w:firstRow="1" w:lastRow="0" w:firstColumn="1" w:lastColumn="0" w:noHBand="0" w:noVBand="1"/>
      </w:tblPr>
      <w:tblGrid>
        <w:gridCol w:w="1696"/>
        <w:gridCol w:w="7802"/>
      </w:tblGrid>
      <w:tr w:rsidR="00B4097E" w14:paraId="24EE9782" w14:textId="77777777" w:rsidTr="009008C7">
        <w:trPr>
          <w:trHeight w:val="1375"/>
        </w:trPr>
        <w:tc>
          <w:tcPr>
            <w:tcW w:w="1696" w:type="dxa"/>
            <w:shd w:val="clear" w:color="auto" w:fill="D9D9D9" w:themeFill="background1" w:themeFillShade="D9"/>
            <w:vAlign w:val="center"/>
          </w:tcPr>
          <w:p w14:paraId="38A240C3" w14:textId="77777777" w:rsidR="00B4097E" w:rsidRPr="00751B40" w:rsidRDefault="00B4097E" w:rsidP="009008C7">
            <w:r w:rsidRPr="00751B40">
              <w:t>Learning outcomes</w:t>
            </w:r>
          </w:p>
        </w:tc>
        <w:tc>
          <w:tcPr>
            <w:tcW w:w="7802" w:type="dxa"/>
            <w:vAlign w:val="center"/>
          </w:tcPr>
          <w:p w14:paraId="439B3A7A" w14:textId="77777777" w:rsidR="00B4097E" w:rsidRDefault="00B4097E" w:rsidP="00B4097E">
            <w:pPr>
              <w:pStyle w:val="ListParagraph"/>
              <w:numPr>
                <w:ilvl w:val="0"/>
                <w:numId w:val="1"/>
              </w:numPr>
            </w:pPr>
            <w:r>
              <w:t xml:space="preserve">Understand the main ideas discussed in the </w:t>
            </w:r>
            <w:proofErr w:type="gramStart"/>
            <w:r>
              <w:t>publication</w:t>
            </w:r>
            <w:proofErr w:type="gramEnd"/>
            <w:r>
              <w:t xml:space="preserve"> </w:t>
            </w:r>
          </w:p>
          <w:p w14:paraId="351F38A8" w14:textId="77777777" w:rsidR="00B4097E" w:rsidRDefault="00B4097E" w:rsidP="00B4097E">
            <w:pPr>
              <w:pStyle w:val="ListParagraph"/>
              <w:numPr>
                <w:ilvl w:val="0"/>
                <w:numId w:val="1"/>
              </w:numPr>
            </w:pPr>
            <w:r>
              <w:t xml:space="preserve">Describe the main conclusions and their relevance to the environmental science </w:t>
            </w:r>
            <w:proofErr w:type="gramStart"/>
            <w:r>
              <w:t>sector</w:t>
            </w:r>
            <w:proofErr w:type="gramEnd"/>
          </w:p>
          <w:p w14:paraId="09CD52CF" w14:textId="77777777" w:rsidR="00B4097E" w:rsidRPr="00751B40" w:rsidRDefault="00B4097E" w:rsidP="00B4097E">
            <w:pPr>
              <w:pStyle w:val="ListParagraph"/>
              <w:numPr>
                <w:ilvl w:val="0"/>
                <w:numId w:val="1"/>
              </w:numPr>
            </w:pPr>
            <w:r>
              <w:t>Critically reflect on the main concepts discussed</w:t>
            </w:r>
          </w:p>
        </w:tc>
      </w:tr>
      <w:tr w:rsidR="00B4097E" w14:paraId="10FAE898" w14:textId="77777777" w:rsidTr="009008C7">
        <w:trPr>
          <w:trHeight w:val="3110"/>
        </w:trPr>
        <w:tc>
          <w:tcPr>
            <w:tcW w:w="1696" w:type="dxa"/>
            <w:shd w:val="clear" w:color="auto" w:fill="D9D9D9" w:themeFill="background1" w:themeFillShade="D9"/>
            <w:vAlign w:val="center"/>
          </w:tcPr>
          <w:p w14:paraId="70371490" w14:textId="77777777" w:rsidR="00B4097E" w:rsidRPr="00751B40" w:rsidRDefault="00B4097E" w:rsidP="009008C7">
            <w:r>
              <w:t>Format</w:t>
            </w:r>
          </w:p>
        </w:tc>
        <w:tc>
          <w:tcPr>
            <w:tcW w:w="7802" w:type="dxa"/>
            <w:vAlign w:val="center"/>
          </w:tcPr>
          <w:p w14:paraId="0C1CDD50" w14:textId="77777777" w:rsidR="00B4097E" w:rsidRDefault="00B4097E" w:rsidP="00B4097E">
            <w:pPr>
              <w:pStyle w:val="NoSpacing"/>
              <w:numPr>
                <w:ilvl w:val="0"/>
                <w:numId w:val="1"/>
              </w:numPr>
            </w:pPr>
            <w:r>
              <w:t xml:space="preserve">Articles of particular interest are to be selected and shared with the group to read ahead of the discussion. Suggestions of focus articles are attached </w:t>
            </w:r>
            <w:proofErr w:type="gramStart"/>
            <w:r>
              <w:t>here</w:t>
            </w:r>
            <w:proofErr w:type="gramEnd"/>
          </w:p>
          <w:p w14:paraId="4A63096C" w14:textId="77777777" w:rsidR="00B4097E" w:rsidRDefault="00B4097E" w:rsidP="00B4097E">
            <w:pPr>
              <w:pStyle w:val="NoSpacing"/>
              <w:numPr>
                <w:ilvl w:val="0"/>
                <w:numId w:val="1"/>
              </w:numPr>
            </w:pPr>
            <w:r>
              <w:t xml:space="preserve">Small group discussions of articles that closely relate to programme content to supplement </w:t>
            </w:r>
            <w:proofErr w:type="gramStart"/>
            <w:r>
              <w:t>learning</w:t>
            </w:r>
            <w:proofErr w:type="gramEnd"/>
          </w:p>
          <w:p w14:paraId="546D5963" w14:textId="77777777" w:rsidR="00B4097E" w:rsidRDefault="00B4097E" w:rsidP="00B4097E">
            <w:pPr>
              <w:pStyle w:val="NoSpacing"/>
              <w:numPr>
                <w:ilvl w:val="0"/>
                <w:numId w:val="1"/>
              </w:numPr>
            </w:pPr>
            <w:r>
              <w:t xml:space="preserve">Discussions can be led by participants or the tutor, using the ‘articles in focus’ resource to prompt debate and aid the </w:t>
            </w:r>
            <w:proofErr w:type="gramStart"/>
            <w:r>
              <w:t>conversation</w:t>
            </w:r>
            <w:proofErr w:type="gramEnd"/>
          </w:p>
          <w:p w14:paraId="020B0D0D" w14:textId="77777777" w:rsidR="00B4097E" w:rsidRDefault="00B4097E" w:rsidP="00B4097E">
            <w:pPr>
              <w:pStyle w:val="NoSpacing"/>
              <w:numPr>
                <w:ilvl w:val="0"/>
                <w:numId w:val="1"/>
              </w:numPr>
            </w:pPr>
            <w:r w:rsidRPr="00095DF9">
              <w:t>The suggested discussion points</w:t>
            </w:r>
            <w:r>
              <w:t xml:space="preserve"> and </w:t>
            </w:r>
            <w:r w:rsidRPr="00095DF9">
              <w:t xml:space="preserve">questions provided in this pack for selected articles can be used as a starting point to guide the </w:t>
            </w:r>
            <w:proofErr w:type="gramStart"/>
            <w:r w:rsidRPr="00095DF9">
              <w:t>discussion</w:t>
            </w:r>
            <w:proofErr w:type="gramEnd"/>
            <w:r>
              <w:t xml:space="preserve"> </w:t>
            </w:r>
          </w:p>
          <w:p w14:paraId="7D005647" w14:textId="77777777" w:rsidR="00B4097E" w:rsidRPr="00D33F67" w:rsidRDefault="00B4097E" w:rsidP="00B4097E">
            <w:pPr>
              <w:pStyle w:val="NoSpacing"/>
              <w:numPr>
                <w:ilvl w:val="0"/>
                <w:numId w:val="1"/>
              </w:numPr>
            </w:pPr>
            <w:r>
              <w:t>Students can be encouraged to choose to discuss any of the other articles within the issue</w:t>
            </w:r>
          </w:p>
        </w:tc>
      </w:tr>
    </w:tbl>
    <w:p w14:paraId="04B9D0EF" w14:textId="552A28F8" w:rsidR="00B4097E" w:rsidRPr="00EA0741" w:rsidRDefault="00B4097E" w:rsidP="00B4097E">
      <w:pPr>
        <w:rPr>
          <w:sz w:val="20"/>
          <w:szCs w:val="20"/>
        </w:rPr>
      </w:pPr>
    </w:p>
    <w:p w14:paraId="67911FC3" w14:textId="4D729D04" w:rsidR="00B4097E" w:rsidRDefault="00B4097E" w:rsidP="00B4097E">
      <w:pPr>
        <w:rPr>
          <w:b/>
          <w:bCs/>
        </w:rPr>
      </w:pPr>
      <w:r>
        <w:rPr>
          <w:b/>
          <w:bCs/>
          <w:noProof/>
          <w:sz w:val="30"/>
          <w:szCs w:val="30"/>
          <w14:ligatures w14:val="standardContextual"/>
        </w:rPr>
        <w:drawing>
          <wp:anchor distT="0" distB="0" distL="114300" distR="114300" simplePos="0" relativeHeight="251658240" behindDoc="0" locked="0" layoutInCell="1" allowOverlap="1" wp14:anchorId="262FD9E1" wp14:editId="02A62E70">
            <wp:simplePos x="0" y="0"/>
            <wp:positionH relativeFrom="margin">
              <wp:align>left</wp:align>
            </wp:positionH>
            <wp:positionV relativeFrom="paragraph">
              <wp:posOffset>6985</wp:posOffset>
            </wp:positionV>
            <wp:extent cx="1343025" cy="1940560"/>
            <wp:effectExtent l="0" t="0" r="0" b="2540"/>
            <wp:wrapSquare wrapText="bothSides"/>
            <wp:docPr id="1320748548" name="Picture 2"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48548" name="Picture 2" descr="A cover of a magaz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47064" cy="1946555"/>
                    </a:xfrm>
                    <a:prstGeom prst="rect">
                      <a:avLst/>
                    </a:prstGeom>
                  </pic:spPr>
                </pic:pic>
              </a:graphicData>
            </a:graphic>
            <wp14:sizeRelH relativeFrom="margin">
              <wp14:pctWidth>0</wp14:pctWidth>
            </wp14:sizeRelH>
            <wp14:sizeRelV relativeFrom="margin">
              <wp14:pctHeight>0</wp14:pctHeight>
            </wp14:sizeRelV>
          </wp:anchor>
        </w:drawing>
      </w:r>
      <w:r w:rsidRPr="00B76C91">
        <w:t>e</w:t>
      </w:r>
      <w:r w:rsidRPr="61B65E75">
        <w:rPr>
          <w:i/>
          <w:iCs/>
        </w:rPr>
        <w:t>nvironmental SCIENTIST</w:t>
      </w:r>
      <w:r>
        <w:rPr>
          <w:b/>
          <w:bCs/>
        </w:rPr>
        <w:br/>
        <w:t>Unearthing Global Megatrends in Land Condition</w:t>
      </w:r>
      <w:r>
        <w:rPr>
          <w:b/>
          <w:bCs/>
        </w:rPr>
        <w:br/>
      </w:r>
      <w:r w:rsidRPr="00B76C91">
        <w:t xml:space="preserve">Vol </w:t>
      </w:r>
      <w:r>
        <w:t xml:space="preserve">32, issue </w:t>
      </w:r>
      <w:proofErr w:type="gramStart"/>
      <w:r>
        <w:t>2</w:t>
      </w:r>
      <w:proofErr w:type="gramEnd"/>
    </w:p>
    <w:p w14:paraId="457C6BDC" w14:textId="074F290F" w:rsidR="00B4097E" w:rsidRDefault="002208A3" w:rsidP="00B4097E">
      <w:pPr>
        <w:rPr>
          <w:b/>
          <w:bCs/>
        </w:rPr>
      </w:pPr>
      <w:hyperlink r:id="rId11" w:history="1">
        <w:r w:rsidR="00B4097E" w:rsidRPr="0044199B">
          <w:rPr>
            <w:rStyle w:val="Hyperlink"/>
          </w:rPr>
          <w:t>https://www.the-ies.org/resources/unearthing-global-megatrends</w:t>
        </w:r>
      </w:hyperlink>
      <w:r w:rsidR="00B4097E">
        <w:t xml:space="preserve"> </w:t>
      </w:r>
    </w:p>
    <w:p w14:paraId="51429F9A" w14:textId="77777777" w:rsidR="00B4097E" w:rsidRDefault="00B4097E" w:rsidP="00B4097E">
      <w:pPr>
        <w:pStyle w:val="NoSpacing"/>
        <w:rPr>
          <w:b/>
          <w:bCs/>
        </w:rPr>
      </w:pPr>
    </w:p>
    <w:p w14:paraId="03F1B822" w14:textId="77777777" w:rsidR="00B4097E" w:rsidRDefault="00B4097E" w:rsidP="00B4097E">
      <w:pPr>
        <w:pStyle w:val="NoSpacing"/>
        <w:rPr>
          <w:b/>
          <w:bCs/>
        </w:rPr>
      </w:pPr>
    </w:p>
    <w:p w14:paraId="6B319404" w14:textId="77777777" w:rsidR="00B4097E" w:rsidRDefault="00B4097E" w:rsidP="00B4097E">
      <w:pPr>
        <w:pStyle w:val="NoSpacing"/>
        <w:rPr>
          <w:b/>
          <w:bCs/>
        </w:rPr>
      </w:pPr>
    </w:p>
    <w:p w14:paraId="680848F9" w14:textId="77777777" w:rsidR="00B4097E" w:rsidRDefault="00B4097E" w:rsidP="00B4097E">
      <w:pPr>
        <w:pStyle w:val="NoSpacing"/>
        <w:rPr>
          <w:b/>
          <w:bCs/>
          <w:sz w:val="30"/>
          <w:szCs w:val="30"/>
        </w:rPr>
      </w:pPr>
    </w:p>
    <w:p w14:paraId="20E46B79" w14:textId="77777777" w:rsidR="00B4097E" w:rsidRDefault="00B4097E" w:rsidP="00B4097E">
      <w:pPr>
        <w:pStyle w:val="NoSpacing"/>
        <w:rPr>
          <w:b/>
          <w:bCs/>
          <w:sz w:val="30"/>
          <w:szCs w:val="30"/>
        </w:rPr>
      </w:pPr>
    </w:p>
    <w:p w14:paraId="75FBD3D3" w14:textId="77777777" w:rsidR="00B4097E" w:rsidRPr="00EA0741" w:rsidRDefault="00B4097E" w:rsidP="00B4097E">
      <w:pPr>
        <w:pStyle w:val="NoSpacing"/>
        <w:rPr>
          <w:b/>
          <w:bCs/>
          <w:sz w:val="30"/>
          <w:szCs w:val="30"/>
        </w:rPr>
      </w:pPr>
    </w:p>
    <w:p w14:paraId="58FA41CF" w14:textId="77777777" w:rsidR="00B4097E" w:rsidRPr="00EA0741" w:rsidRDefault="00B4097E" w:rsidP="00B4097E">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00B4097E" w:rsidRPr="008C066D" w14:paraId="2D522FD2" w14:textId="77777777" w:rsidTr="3749C3DA">
        <w:trPr>
          <w:trHeight w:val="2162"/>
        </w:trPr>
        <w:tc>
          <w:tcPr>
            <w:tcW w:w="1701" w:type="dxa"/>
            <w:shd w:val="clear" w:color="auto" w:fill="D9D9D9" w:themeFill="background1" w:themeFillShade="D9"/>
            <w:vAlign w:val="center"/>
          </w:tcPr>
          <w:p w14:paraId="13BB7B4B" w14:textId="77777777" w:rsidR="00B4097E" w:rsidRPr="00111858" w:rsidRDefault="00B4097E" w:rsidP="009008C7">
            <w:pPr>
              <w:rPr>
                <w:b/>
                <w:bCs/>
              </w:rPr>
            </w:pPr>
            <w:r w:rsidRPr="00111858">
              <w:rPr>
                <w:b/>
                <w:bCs/>
              </w:rPr>
              <w:lastRenderedPageBreak/>
              <w:t xml:space="preserve">Topic overview </w:t>
            </w:r>
          </w:p>
        </w:tc>
        <w:tc>
          <w:tcPr>
            <w:tcW w:w="7797" w:type="dxa"/>
            <w:vAlign w:val="center"/>
          </w:tcPr>
          <w:p w14:paraId="1A759E9A" w14:textId="139A4FBA" w:rsidR="00B4097E" w:rsidRPr="00EA0741" w:rsidRDefault="00B4097E" w:rsidP="00B4097E">
            <w:pPr>
              <w:pStyle w:val="NoSpacing"/>
              <w:numPr>
                <w:ilvl w:val="0"/>
                <w:numId w:val="2"/>
              </w:numPr>
              <w:spacing w:before="60"/>
            </w:pPr>
            <w:r>
              <w:t xml:space="preserve">No profession operates in a </w:t>
            </w:r>
            <w:proofErr w:type="gramStart"/>
            <w:r>
              <w:t>vacuum</w:t>
            </w:r>
            <w:proofErr w:type="gramEnd"/>
            <w:r>
              <w:t xml:space="preserve"> and it is imperative that we pay attention to emerging drivers of change. This edition of environmental SCIENTIST explores how the European Environment Agency's eleven global megatrends are influencing the work of the land condition community. Tackling diverse topics from microplastics and antimicrobial resistance through to climate change, the journal suggests how we should be developing approaches to accommodate these momentous changes. In this way, land condition professionals, and other environmental disciplines that interact with land, can be prepared for future </w:t>
            </w:r>
            <w:proofErr w:type="gramStart"/>
            <w:r>
              <w:t>conditions</w:t>
            </w:r>
            <w:proofErr w:type="gramEnd"/>
            <w:r>
              <w:t xml:space="preserve"> and contribute meaningfully to sustainable development.</w:t>
            </w:r>
          </w:p>
        </w:tc>
      </w:tr>
      <w:tr w:rsidR="00B4097E" w:rsidRPr="008C066D" w14:paraId="5F442F2C" w14:textId="77777777" w:rsidTr="3749C3DA">
        <w:trPr>
          <w:trHeight w:val="289"/>
        </w:trPr>
        <w:tc>
          <w:tcPr>
            <w:tcW w:w="9498" w:type="dxa"/>
            <w:gridSpan w:val="2"/>
            <w:shd w:val="clear" w:color="auto" w:fill="D9D9D9" w:themeFill="background1" w:themeFillShade="D9"/>
          </w:tcPr>
          <w:p w14:paraId="450155C5" w14:textId="77777777" w:rsidR="00B4097E" w:rsidRPr="00111858" w:rsidRDefault="00B4097E" w:rsidP="009008C7">
            <w:pPr>
              <w:pStyle w:val="NoSpacing"/>
              <w:jc w:val="center"/>
              <w:rPr>
                <w:b/>
                <w:bCs/>
              </w:rPr>
            </w:pPr>
            <w:r w:rsidRPr="00111858">
              <w:rPr>
                <w:b/>
                <w:bCs/>
              </w:rPr>
              <w:t xml:space="preserve">Articles in </w:t>
            </w:r>
            <w:r>
              <w:rPr>
                <w:b/>
                <w:bCs/>
              </w:rPr>
              <w:t>f</w:t>
            </w:r>
            <w:r w:rsidRPr="00111858">
              <w:rPr>
                <w:b/>
                <w:bCs/>
              </w:rPr>
              <w:t>ocus</w:t>
            </w:r>
          </w:p>
        </w:tc>
      </w:tr>
      <w:tr w:rsidR="00B4097E" w:rsidRPr="008C066D" w14:paraId="2F352EE1" w14:textId="77777777" w:rsidTr="3749C3DA">
        <w:trPr>
          <w:trHeight w:val="965"/>
        </w:trPr>
        <w:tc>
          <w:tcPr>
            <w:tcW w:w="1701" w:type="dxa"/>
            <w:vMerge w:val="restart"/>
            <w:shd w:val="clear" w:color="auto" w:fill="D9D9D9" w:themeFill="background1" w:themeFillShade="D9"/>
            <w:vAlign w:val="center"/>
          </w:tcPr>
          <w:p w14:paraId="084CC3AE" w14:textId="223F9535" w:rsidR="00B4097E" w:rsidRDefault="00B4097E" w:rsidP="009008C7">
            <w:pPr>
              <w:rPr>
                <w:b/>
                <w:bCs/>
              </w:rPr>
            </w:pPr>
            <w:r w:rsidRPr="00B4097E">
              <w:rPr>
                <w:b/>
                <w:bCs/>
              </w:rPr>
              <w:t xml:space="preserve">Microplastics: an increasing threat to global soil health?  </w:t>
            </w:r>
          </w:p>
          <w:p w14:paraId="0600D9AA" w14:textId="77777777" w:rsidR="00B4097E" w:rsidRDefault="00B4097E" w:rsidP="009008C7">
            <w:pPr>
              <w:rPr>
                <w:b/>
                <w:bCs/>
              </w:rPr>
            </w:pPr>
          </w:p>
          <w:p w14:paraId="03FBAF00" w14:textId="72597FCB" w:rsidR="00B4097E" w:rsidRDefault="00B4097E" w:rsidP="009008C7">
            <w:pPr>
              <w:rPr>
                <w:b/>
                <w:bCs/>
              </w:rPr>
            </w:pPr>
            <w:r w:rsidRPr="00B4097E">
              <w:rPr>
                <w:b/>
                <w:bCs/>
              </w:rPr>
              <w:t xml:space="preserve">Paul Dumble, Diogenes </w:t>
            </w:r>
            <w:proofErr w:type="spellStart"/>
            <w:r w:rsidRPr="00B4097E">
              <w:rPr>
                <w:b/>
                <w:bCs/>
              </w:rPr>
              <w:t>Antille</w:t>
            </w:r>
            <w:proofErr w:type="spellEnd"/>
            <w:r w:rsidRPr="00B4097E">
              <w:rPr>
                <w:b/>
                <w:bCs/>
              </w:rPr>
              <w:t xml:space="preserve"> and Robert Earl </w:t>
            </w:r>
            <w:r w:rsidRPr="0007383B">
              <w:rPr>
                <w:b/>
                <w:bCs/>
              </w:rPr>
              <w:t>(p.</w:t>
            </w:r>
            <w:r>
              <w:rPr>
                <w:b/>
                <w:bCs/>
              </w:rPr>
              <w:t>78</w:t>
            </w:r>
            <w:r w:rsidRPr="0007383B">
              <w:rPr>
                <w:b/>
                <w:bCs/>
              </w:rPr>
              <w:t>)</w:t>
            </w:r>
          </w:p>
          <w:p w14:paraId="69753CBC" w14:textId="77777777" w:rsidR="00B4097E" w:rsidRPr="008C7366" w:rsidRDefault="00B4097E" w:rsidP="009008C7">
            <w:pPr>
              <w:rPr>
                <w:b/>
                <w:bCs/>
              </w:rPr>
            </w:pPr>
          </w:p>
        </w:tc>
        <w:tc>
          <w:tcPr>
            <w:tcW w:w="7797" w:type="dxa"/>
            <w:shd w:val="clear" w:color="auto" w:fill="E7E6E6" w:themeFill="background2"/>
            <w:vAlign w:val="center"/>
          </w:tcPr>
          <w:p w14:paraId="51A7D8CE" w14:textId="618EE39C" w:rsidR="00B4097E" w:rsidRPr="00631919" w:rsidRDefault="00B4097E" w:rsidP="009008C7">
            <w:pPr>
              <w:pStyle w:val="NoSpacing"/>
            </w:pPr>
            <w:r w:rsidRPr="00F83AEA">
              <w:rPr>
                <w:b/>
                <w:bCs/>
              </w:rPr>
              <w:t>Article overview:</w:t>
            </w:r>
            <w:r w:rsidRPr="00F83AEA">
              <w:t xml:space="preserve"> </w:t>
            </w:r>
            <w:r>
              <w:t xml:space="preserve">This article considers the growing impacts of microplastics pollution on soil health. </w:t>
            </w:r>
          </w:p>
        </w:tc>
      </w:tr>
      <w:tr w:rsidR="00B4097E" w:rsidRPr="008C066D" w14:paraId="5A58CB69" w14:textId="77777777" w:rsidTr="3749C3DA">
        <w:trPr>
          <w:trHeight w:val="2539"/>
        </w:trPr>
        <w:tc>
          <w:tcPr>
            <w:tcW w:w="1701" w:type="dxa"/>
            <w:vMerge/>
          </w:tcPr>
          <w:p w14:paraId="265431A0" w14:textId="77777777" w:rsidR="00B4097E" w:rsidRPr="0007383B" w:rsidRDefault="00B4097E" w:rsidP="009008C7">
            <w:pPr>
              <w:rPr>
                <w:b/>
                <w:bCs/>
              </w:rPr>
            </w:pPr>
          </w:p>
        </w:tc>
        <w:tc>
          <w:tcPr>
            <w:tcW w:w="7797" w:type="dxa"/>
            <w:vAlign w:val="center"/>
          </w:tcPr>
          <w:p w14:paraId="32129211" w14:textId="77777777" w:rsidR="00B4097E" w:rsidRPr="008B4941" w:rsidRDefault="00B4097E" w:rsidP="00B4097E">
            <w:pPr>
              <w:pStyle w:val="ListParagraph"/>
              <w:numPr>
                <w:ilvl w:val="0"/>
                <w:numId w:val="2"/>
              </w:numPr>
            </w:pPr>
            <w:r w:rsidRPr="008B4941">
              <w:t>Discuss the key differences between primary and secondary microplastics.</w:t>
            </w:r>
          </w:p>
          <w:p w14:paraId="0D7A76B0" w14:textId="77777777" w:rsidR="00B4097E" w:rsidRPr="008B4941" w:rsidRDefault="00B4097E" w:rsidP="00B4097E">
            <w:pPr>
              <w:pStyle w:val="ListParagraph"/>
              <w:numPr>
                <w:ilvl w:val="0"/>
                <w:numId w:val="2"/>
              </w:numPr>
            </w:pPr>
            <w:r w:rsidRPr="008B4941">
              <w:t>How do the 98% of microplastics captured in wastewater treatment plants make it back into the wider environment, and into the soil? Discuss the different ways this can take place.</w:t>
            </w:r>
          </w:p>
          <w:p w14:paraId="2E27EF9E" w14:textId="77777777" w:rsidR="00B4097E" w:rsidRPr="008B4941" w:rsidRDefault="00B4097E" w:rsidP="00B4097E">
            <w:pPr>
              <w:pStyle w:val="ListParagraph"/>
              <w:numPr>
                <w:ilvl w:val="0"/>
                <w:numId w:val="2"/>
              </w:numPr>
            </w:pPr>
            <w:r w:rsidRPr="008B4941">
              <w:t>Why might marine microplastic pollution have had more attention (in the media, research, public awareness contexts) than microplastic soil pollution?</w:t>
            </w:r>
          </w:p>
          <w:p w14:paraId="16627615" w14:textId="282EE525" w:rsidR="00B4097E" w:rsidRDefault="00B4097E" w:rsidP="00B4097E">
            <w:pPr>
              <w:pStyle w:val="ListParagraph"/>
              <w:numPr>
                <w:ilvl w:val="0"/>
                <w:numId w:val="2"/>
              </w:numPr>
              <w:spacing w:after="160"/>
            </w:pPr>
            <w:r w:rsidRPr="008B4941">
              <w:t>How do you think climate change is impacting/will impact how microplastics behave in the soil? What are the key risk factors of climate change to microplastic soil pollution?</w:t>
            </w:r>
          </w:p>
        </w:tc>
      </w:tr>
      <w:tr w:rsidR="00B4097E" w:rsidRPr="008C066D" w14:paraId="1B9020A6" w14:textId="77777777" w:rsidTr="3749C3DA">
        <w:trPr>
          <w:trHeight w:val="987"/>
        </w:trPr>
        <w:tc>
          <w:tcPr>
            <w:tcW w:w="1701" w:type="dxa"/>
            <w:vMerge w:val="restart"/>
            <w:shd w:val="clear" w:color="auto" w:fill="D9D9D9" w:themeFill="background1" w:themeFillShade="D9"/>
            <w:vAlign w:val="center"/>
          </w:tcPr>
          <w:p w14:paraId="255A5872" w14:textId="1817BCDC" w:rsidR="00B4097E" w:rsidRDefault="00B4097E" w:rsidP="009008C7">
            <w:pPr>
              <w:rPr>
                <w:b/>
                <w:bCs/>
              </w:rPr>
            </w:pPr>
            <w:r w:rsidRPr="00B4097E">
              <w:rPr>
                <w:b/>
                <w:bCs/>
              </w:rPr>
              <w:t xml:space="preserve">Tackling Scotland’s legacy of vacant and derelict land </w:t>
            </w:r>
          </w:p>
          <w:p w14:paraId="7FC4E820" w14:textId="77777777" w:rsidR="00B4097E" w:rsidRDefault="00B4097E" w:rsidP="009008C7">
            <w:pPr>
              <w:rPr>
                <w:b/>
                <w:bCs/>
              </w:rPr>
            </w:pPr>
          </w:p>
          <w:p w14:paraId="64A086CD" w14:textId="77777777" w:rsidR="00B4097E" w:rsidRDefault="00B4097E" w:rsidP="009008C7">
            <w:pPr>
              <w:rPr>
                <w:b/>
                <w:bCs/>
              </w:rPr>
            </w:pPr>
            <w:r w:rsidRPr="00B4097E">
              <w:rPr>
                <w:b/>
                <w:bCs/>
              </w:rPr>
              <w:t>Hamish Trench</w:t>
            </w:r>
            <w:r>
              <w:rPr>
                <w:b/>
                <w:bCs/>
              </w:rPr>
              <w:t xml:space="preserve"> </w:t>
            </w:r>
          </w:p>
          <w:p w14:paraId="15FFCE14" w14:textId="013C7DF5" w:rsidR="00B4097E" w:rsidRPr="0007383B" w:rsidRDefault="00B4097E" w:rsidP="009008C7">
            <w:pPr>
              <w:rPr>
                <w:b/>
                <w:bCs/>
              </w:rPr>
            </w:pPr>
            <w:r>
              <w:rPr>
                <w:b/>
                <w:bCs/>
              </w:rPr>
              <w:t>(p. 20)</w:t>
            </w:r>
          </w:p>
        </w:tc>
        <w:tc>
          <w:tcPr>
            <w:tcW w:w="7797" w:type="dxa"/>
            <w:shd w:val="clear" w:color="auto" w:fill="E7E6E6" w:themeFill="background2"/>
            <w:vAlign w:val="center"/>
          </w:tcPr>
          <w:p w14:paraId="1191A5BE" w14:textId="121C6A3C" w:rsidR="00B4097E" w:rsidRPr="00DC1FEB" w:rsidRDefault="00B4097E" w:rsidP="009008C7">
            <w:pPr>
              <w:pStyle w:val="NoSpacing"/>
            </w:pPr>
            <w:r>
              <w:rPr>
                <w:b/>
                <w:bCs/>
              </w:rPr>
              <w:t>Article overview:</w:t>
            </w:r>
            <w:r w:rsidRPr="002D07E1">
              <w:t xml:space="preserve"> </w:t>
            </w:r>
            <w:r>
              <w:t>This article explores how both economic growth and governance changes can improve the prospects of derelict lands in Scotland.</w:t>
            </w:r>
          </w:p>
        </w:tc>
      </w:tr>
      <w:tr w:rsidR="00B4097E" w:rsidRPr="008C066D" w14:paraId="267CD68F" w14:textId="77777777" w:rsidTr="3749C3DA">
        <w:trPr>
          <w:trHeight w:val="2542"/>
        </w:trPr>
        <w:tc>
          <w:tcPr>
            <w:tcW w:w="1701" w:type="dxa"/>
            <w:vMerge/>
          </w:tcPr>
          <w:p w14:paraId="034143BF" w14:textId="77777777" w:rsidR="00B4097E" w:rsidRPr="0007383B" w:rsidRDefault="00B4097E" w:rsidP="00B4097E">
            <w:pPr>
              <w:rPr>
                <w:b/>
                <w:bCs/>
              </w:rPr>
            </w:pPr>
          </w:p>
        </w:tc>
        <w:tc>
          <w:tcPr>
            <w:tcW w:w="7797" w:type="dxa"/>
            <w:vAlign w:val="center"/>
          </w:tcPr>
          <w:p w14:paraId="3DF6DF10" w14:textId="77777777" w:rsidR="00B4097E" w:rsidRPr="008B4941" w:rsidRDefault="00B4097E" w:rsidP="00B4097E">
            <w:pPr>
              <w:pStyle w:val="ListParagraph"/>
              <w:numPr>
                <w:ilvl w:val="0"/>
                <w:numId w:val="2"/>
              </w:numPr>
            </w:pPr>
            <w:r w:rsidRPr="008B4941">
              <w:t>How does the author suggest the number of VDL sites may change in the future, with the changing economic climate? What risks could be involved with this changing trend?</w:t>
            </w:r>
          </w:p>
          <w:p w14:paraId="42D832EB" w14:textId="77777777" w:rsidR="00B4097E" w:rsidRPr="008B4941" w:rsidRDefault="00B4097E" w:rsidP="00B4097E">
            <w:pPr>
              <w:pStyle w:val="ListParagraph"/>
              <w:numPr>
                <w:ilvl w:val="0"/>
                <w:numId w:val="2"/>
              </w:numPr>
            </w:pPr>
            <w:r w:rsidRPr="008B4941">
              <w:t>Discuss and summarise the different ways that VDL (vacant and derelict land) could have adverse effects on the health of individuals and communities in Scotland.</w:t>
            </w:r>
          </w:p>
          <w:p w14:paraId="28AD96BF" w14:textId="50EA4BBA" w:rsidR="00B4097E" w:rsidRPr="002D7DC0" w:rsidRDefault="00B4097E" w:rsidP="008B4941">
            <w:pPr>
              <w:pStyle w:val="ListParagraph"/>
              <w:numPr>
                <w:ilvl w:val="0"/>
                <w:numId w:val="2"/>
              </w:numPr>
            </w:pPr>
            <w:r w:rsidRPr="008B4941">
              <w:t>The author states that communities should play a key role in prioritising and choosing which sites should be remediated. How do you think communities can/should be integrated into this decision-making process?</w:t>
            </w:r>
          </w:p>
        </w:tc>
      </w:tr>
      <w:tr w:rsidR="00B4097E" w:rsidRPr="008C066D" w14:paraId="00B109B8" w14:textId="77777777" w:rsidTr="3749C3DA">
        <w:trPr>
          <w:trHeight w:val="983"/>
        </w:trPr>
        <w:tc>
          <w:tcPr>
            <w:tcW w:w="1701" w:type="dxa"/>
            <w:vMerge w:val="restart"/>
            <w:shd w:val="clear" w:color="auto" w:fill="D9D9D9" w:themeFill="background1" w:themeFillShade="D9"/>
          </w:tcPr>
          <w:p w14:paraId="57536917" w14:textId="77777777" w:rsidR="00B4097E" w:rsidRDefault="00B4097E" w:rsidP="009008C7">
            <w:pPr>
              <w:rPr>
                <w:b/>
                <w:bCs/>
              </w:rPr>
            </w:pPr>
          </w:p>
          <w:p w14:paraId="5713BF4B" w14:textId="1AC08361" w:rsidR="00B4097E" w:rsidRDefault="00B4097E" w:rsidP="009008C7">
            <w:pPr>
              <w:rPr>
                <w:b/>
                <w:bCs/>
              </w:rPr>
            </w:pPr>
            <w:r w:rsidRPr="00B4097E">
              <w:rPr>
                <w:b/>
                <w:bCs/>
              </w:rPr>
              <w:t xml:space="preserve">We must farm organically to save the UK’s threatened soil </w:t>
            </w:r>
            <w:proofErr w:type="gramStart"/>
            <w:r w:rsidRPr="00B4097E">
              <w:rPr>
                <w:b/>
                <w:bCs/>
              </w:rPr>
              <w:t>ecosystems</w:t>
            </w:r>
            <w:proofErr w:type="gramEnd"/>
          </w:p>
          <w:p w14:paraId="3180083A" w14:textId="77777777" w:rsidR="00B4097E" w:rsidRDefault="00B4097E" w:rsidP="009008C7">
            <w:pPr>
              <w:rPr>
                <w:b/>
                <w:bCs/>
              </w:rPr>
            </w:pPr>
          </w:p>
          <w:p w14:paraId="2E9B997A" w14:textId="77777777" w:rsidR="00B4097E" w:rsidRDefault="00B4097E" w:rsidP="009008C7">
            <w:pPr>
              <w:rPr>
                <w:b/>
                <w:bCs/>
              </w:rPr>
            </w:pPr>
            <w:r>
              <w:rPr>
                <w:b/>
                <w:bCs/>
              </w:rPr>
              <w:t>Gareth Morgan</w:t>
            </w:r>
          </w:p>
          <w:p w14:paraId="7E23AE2A" w14:textId="55BD2FA9" w:rsidR="00B4097E" w:rsidRPr="0007383B" w:rsidRDefault="00B4097E" w:rsidP="009008C7">
            <w:pPr>
              <w:rPr>
                <w:b/>
                <w:bCs/>
              </w:rPr>
            </w:pPr>
            <w:r>
              <w:rPr>
                <w:b/>
                <w:bCs/>
              </w:rPr>
              <w:t>(p. 70)</w:t>
            </w:r>
          </w:p>
        </w:tc>
        <w:tc>
          <w:tcPr>
            <w:tcW w:w="7797" w:type="dxa"/>
            <w:shd w:val="clear" w:color="auto" w:fill="E7E6E6" w:themeFill="background2"/>
            <w:vAlign w:val="center"/>
          </w:tcPr>
          <w:p w14:paraId="39DD7A7E" w14:textId="6AFD8411" w:rsidR="00B4097E" w:rsidRPr="00E46DBA" w:rsidRDefault="00B4097E" w:rsidP="009008C7">
            <w:pPr>
              <w:pStyle w:val="NoSpacing"/>
              <w:rPr>
                <w:highlight w:val="yellow"/>
              </w:rPr>
            </w:pPr>
            <w:r w:rsidRPr="00FC33BE">
              <w:rPr>
                <w:b/>
                <w:bCs/>
              </w:rPr>
              <w:t>Article overview:</w:t>
            </w:r>
            <w:r w:rsidRPr="00FC33BE">
              <w:t xml:space="preserve"> </w:t>
            </w:r>
            <w:r>
              <w:t xml:space="preserve">This article advocates for an agroecological approach to farming </w:t>
            </w:r>
            <w:proofErr w:type="gramStart"/>
            <w:r>
              <w:t>in order to</w:t>
            </w:r>
            <w:proofErr w:type="gramEnd"/>
            <w:r>
              <w:t xml:space="preserve"> preserve soil health.</w:t>
            </w:r>
          </w:p>
        </w:tc>
      </w:tr>
      <w:tr w:rsidR="00B4097E" w:rsidRPr="008C066D" w14:paraId="0F6C5281" w14:textId="77777777" w:rsidTr="3749C3DA">
        <w:trPr>
          <w:trHeight w:val="2560"/>
        </w:trPr>
        <w:tc>
          <w:tcPr>
            <w:tcW w:w="1701" w:type="dxa"/>
            <w:vMerge/>
          </w:tcPr>
          <w:p w14:paraId="22CE986F" w14:textId="77777777" w:rsidR="00B4097E" w:rsidRDefault="00B4097E" w:rsidP="009008C7">
            <w:pPr>
              <w:rPr>
                <w:b/>
                <w:bCs/>
              </w:rPr>
            </w:pPr>
          </w:p>
        </w:tc>
        <w:tc>
          <w:tcPr>
            <w:tcW w:w="7797" w:type="dxa"/>
            <w:vAlign w:val="center"/>
          </w:tcPr>
          <w:p w14:paraId="063DC9DF" w14:textId="77777777" w:rsidR="00B4097E" w:rsidRPr="008B4941" w:rsidRDefault="00B4097E" w:rsidP="00B4097E">
            <w:pPr>
              <w:pStyle w:val="ListParagraph"/>
              <w:numPr>
                <w:ilvl w:val="0"/>
                <w:numId w:val="3"/>
              </w:numPr>
            </w:pPr>
            <w:r w:rsidRPr="008B4941">
              <w:t>How much soil is at risk of erosion in England and Wales, and what are the factors that have led to soil erosion in UK environments?</w:t>
            </w:r>
          </w:p>
          <w:p w14:paraId="04F27FD5" w14:textId="77777777" w:rsidR="00B4097E" w:rsidRPr="008B4941" w:rsidRDefault="00B4097E" w:rsidP="00B4097E">
            <w:pPr>
              <w:pStyle w:val="ListParagraph"/>
              <w:numPr>
                <w:ilvl w:val="0"/>
                <w:numId w:val="3"/>
              </w:numPr>
            </w:pPr>
            <w:r w:rsidRPr="008B4941">
              <w:t>Analyse one of the arguments that the author puts forward for the adoption of an agroecological system: what are the benefits of adopting this system, and what are the possible risks?</w:t>
            </w:r>
          </w:p>
          <w:p w14:paraId="508813CC" w14:textId="075A443F" w:rsidR="00B4097E" w:rsidRPr="008B4941" w:rsidRDefault="00B4097E" w:rsidP="00B4097E">
            <w:pPr>
              <w:pStyle w:val="ListParagraph"/>
              <w:numPr>
                <w:ilvl w:val="0"/>
                <w:numId w:val="3"/>
              </w:numPr>
              <w:spacing w:after="160" w:line="259" w:lineRule="auto"/>
            </w:pPr>
            <w:r w:rsidRPr="008B4941">
              <w:t>Evaluate the references used to support the facts included in the article. Are there any sources that might be less reliable, or scientifically rigorous? If so, why?</w:t>
            </w:r>
          </w:p>
        </w:tc>
      </w:tr>
    </w:tbl>
    <w:p w14:paraId="6B51AEB3" w14:textId="77777777" w:rsidR="00BF7C69" w:rsidRDefault="00BF7C69"/>
    <w:sectPr w:rsidR="00BF7C69" w:rsidSect="00B4097E">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0F27" w14:textId="77777777" w:rsidR="00B4097E" w:rsidRDefault="00B4097E" w:rsidP="00B4097E">
      <w:pPr>
        <w:spacing w:after="0" w:line="240" w:lineRule="auto"/>
      </w:pPr>
      <w:r>
        <w:separator/>
      </w:r>
    </w:p>
  </w:endnote>
  <w:endnote w:type="continuationSeparator" w:id="0">
    <w:p w14:paraId="59F7F6CB" w14:textId="77777777" w:rsidR="00B4097E" w:rsidRDefault="00B4097E" w:rsidP="00B4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A470" w14:textId="77777777" w:rsidR="00B4097E" w:rsidRDefault="00B4097E" w:rsidP="00B4097E">
      <w:pPr>
        <w:spacing w:after="0" w:line="240" w:lineRule="auto"/>
      </w:pPr>
      <w:r>
        <w:separator/>
      </w:r>
    </w:p>
  </w:footnote>
  <w:footnote w:type="continuationSeparator" w:id="0">
    <w:p w14:paraId="32EFC32D" w14:textId="77777777" w:rsidR="00B4097E" w:rsidRDefault="00B4097E" w:rsidP="00B4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C005" w14:textId="11533818" w:rsidR="008B4941" w:rsidRDefault="00B4097E">
    <w:pPr>
      <w:pStyle w:val="Header"/>
    </w:pPr>
    <w:r>
      <w:rPr>
        <w:noProof/>
        <w14:ligatures w14:val="standardContextual"/>
      </w:rPr>
      <w:drawing>
        <wp:anchor distT="0" distB="0" distL="114300" distR="114300" simplePos="0" relativeHeight="251661312" behindDoc="0" locked="0" layoutInCell="1" allowOverlap="1" wp14:anchorId="1FF5C5D7" wp14:editId="409BA671">
          <wp:simplePos x="0" y="0"/>
          <wp:positionH relativeFrom="margin">
            <wp:align>left</wp:align>
          </wp:positionH>
          <wp:positionV relativeFrom="paragraph">
            <wp:posOffset>-212090</wp:posOffset>
          </wp:positionV>
          <wp:extent cx="695325" cy="738505"/>
          <wp:effectExtent l="0" t="0" r="9525" b="4445"/>
          <wp:wrapSquare wrapText="bothSides"/>
          <wp:docPr id="1447868755"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8755" name="Picture 1" descr="A logo with colorfu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25" cy="738505"/>
                  </a:xfrm>
                  <a:prstGeom prst="rect">
                    <a:avLst/>
                  </a:prstGeom>
                </pic:spPr>
              </pic:pic>
            </a:graphicData>
          </a:graphic>
        </wp:anchor>
      </w:drawing>
    </w:r>
    <w:r w:rsidR="008B4941">
      <w:rPr>
        <w:noProof/>
      </w:rPr>
      <w:drawing>
        <wp:anchor distT="0" distB="0" distL="114300" distR="114300" simplePos="0" relativeHeight="251660288" behindDoc="0" locked="0" layoutInCell="1" allowOverlap="1" wp14:anchorId="671EC4B3" wp14:editId="22CDF391">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1D7A62"/>
    <w:multiLevelType w:val="hybridMultilevel"/>
    <w:tmpl w:val="E9503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6113A7"/>
    <w:multiLevelType w:val="hybridMultilevel"/>
    <w:tmpl w:val="36888A9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6115EB"/>
    <w:multiLevelType w:val="hybridMultilevel"/>
    <w:tmpl w:val="150E1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671476">
    <w:abstractNumId w:val="0"/>
  </w:num>
  <w:num w:numId="2" w16cid:durableId="1169835706">
    <w:abstractNumId w:val="1"/>
  </w:num>
  <w:num w:numId="3" w16cid:durableId="1373262442">
    <w:abstractNumId w:val="3"/>
  </w:num>
  <w:num w:numId="4" w16cid:durableId="530337405">
    <w:abstractNumId w:val="4"/>
  </w:num>
  <w:num w:numId="5" w16cid:durableId="1114205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7E"/>
    <w:rsid w:val="00214A7B"/>
    <w:rsid w:val="002208A3"/>
    <w:rsid w:val="008B4941"/>
    <w:rsid w:val="00965FF2"/>
    <w:rsid w:val="00B4097E"/>
    <w:rsid w:val="00BF7C69"/>
    <w:rsid w:val="2700E112"/>
    <w:rsid w:val="3749C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8D5E"/>
  <w15:chartTrackingRefBased/>
  <w15:docId w15:val="{03A66324-C659-4A73-8C02-8FD8BB69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97E"/>
    <w:pPr>
      <w:ind w:left="720"/>
      <w:contextualSpacing/>
    </w:pPr>
  </w:style>
  <w:style w:type="table" w:styleId="TableGrid">
    <w:name w:val="Table Grid"/>
    <w:basedOn w:val="TableNormal"/>
    <w:uiPriority w:val="39"/>
    <w:rsid w:val="00B409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97E"/>
    <w:pPr>
      <w:spacing w:after="0" w:line="240" w:lineRule="auto"/>
    </w:pPr>
    <w:rPr>
      <w:kern w:val="0"/>
      <w14:ligatures w14:val="none"/>
    </w:rPr>
  </w:style>
  <w:style w:type="character" w:styleId="Hyperlink">
    <w:name w:val="Hyperlink"/>
    <w:basedOn w:val="DefaultParagraphFont"/>
    <w:uiPriority w:val="99"/>
    <w:unhideWhenUsed/>
    <w:rsid w:val="00B4097E"/>
    <w:rPr>
      <w:color w:val="0000FF"/>
      <w:u w:val="single"/>
    </w:rPr>
  </w:style>
  <w:style w:type="paragraph" w:styleId="Header">
    <w:name w:val="header"/>
    <w:basedOn w:val="Normal"/>
    <w:link w:val="HeaderChar"/>
    <w:uiPriority w:val="99"/>
    <w:unhideWhenUsed/>
    <w:rsid w:val="00B4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7E"/>
    <w:rPr>
      <w:kern w:val="0"/>
      <w14:ligatures w14:val="none"/>
    </w:rPr>
  </w:style>
  <w:style w:type="paragraph" w:styleId="Footer">
    <w:name w:val="footer"/>
    <w:basedOn w:val="Normal"/>
    <w:link w:val="FooterChar"/>
    <w:uiPriority w:val="99"/>
    <w:unhideWhenUsed/>
    <w:rsid w:val="00B4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7E"/>
    <w:rPr>
      <w:kern w:val="0"/>
      <w14:ligatures w14:val="none"/>
    </w:rPr>
  </w:style>
  <w:style w:type="character" w:styleId="UnresolvedMention">
    <w:name w:val="Unresolved Mention"/>
    <w:basedOn w:val="DefaultParagraphFont"/>
    <w:uiPriority w:val="99"/>
    <w:semiHidden/>
    <w:unhideWhenUsed/>
    <w:rsid w:val="00B4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2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es.org/resources/unearthing-global-megatrend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8" ma:contentTypeDescription="Create a new document." ma:contentTypeScope="" ma:versionID="d1adc84a6638ffa5e6aee933bdd65bd3">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6c03a4dfcc5d6754b956c2bf92421af"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Props1.xml><?xml version="1.0" encoding="utf-8"?>
<ds:datastoreItem xmlns:ds="http://schemas.openxmlformats.org/officeDocument/2006/customXml" ds:itemID="{7F94A903-0079-468D-9622-213407BB7224}"/>
</file>

<file path=customXml/itemProps2.xml><?xml version="1.0" encoding="utf-8"?>
<ds:datastoreItem xmlns:ds="http://schemas.openxmlformats.org/officeDocument/2006/customXml" ds:itemID="{CA0E366E-447E-424F-B2DD-143CA297DAE7}">
  <ds:schemaRefs>
    <ds:schemaRef ds:uri="http://schemas.microsoft.com/sharepoint/v3/contenttype/forms"/>
  </ds:schemaRefs>
</ds:datastoreItem>
</file>

<file path=customXml/itemProps3.xml><?xml version="1.0" encoding="utf-8"?>
<ds:datastoreItem xmlns:ds="http://schemas.openxmlformats.org/officeDocument/2006/customXml" ds:itemID="{15ED5B56-25B7-4DE4-9716-302E7B7D00FB}">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Rowland</dc:creator>
  <cp:keywords/>
  <dc:description/>
  <cp:lastModifiedBy>Lucy Rowland</cp:lastModifiedBy>
  <cp:revision>4</cp:revision>
  <dcterms:created xsi:type="dcterms:W3CDTF">2024-01-15T10:34:00Z</dcterms:created>
  <dcterms:modified xsi:type="dcterms:W3CDTF">2024-01-18T12:53:00Z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