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24F98" w14:textId="77777777" w:rsidR="000C44AD" w:rsidRPr="00B76C91" w:rsidRDefault="000C44AD" w:rsidP="000C44AD">
      <w:pPr>
        <w:jc w:val="center"/>
        <w:rPr>
          <w:b/>
          <w:bCs/>
          <w:color w:val="B84809"/>
          <w:sz w:val="28"/>
          <w:szCs w:val="28"/>
        </w:rPr>
      </w:pPr>
      <w:r>
        <w:rPr>
          <w:b/>
          <w:bCs/>
          <w:i/>
          <w:iCs/>
          <w:color w:val="B84809"/>
          <w:sz w:val="28"/>
          <w:szCs w:val="28"/>
        </w:rPr>
        <w:softHyphen/>
      </w:r>
      <w:r>
        <w:rPr>
          <w:b/>
          <w:bCs/>
          <w:i/>
          <w:iCs/>
          <w:color w:val="B84809"/>
          <w:sz w:val="28"/>
          <w:szCs w:val="28"/>
        </w:rPr>
        <w:softHyphen/>
      </w:r>
      <w:r>
        <w:rPr>
          <w:b/>
          <w:bCs/>
          <w:i/>
          <w:iCs/>
          <w:color w:val="B84809"/>
          <w:sz w:val="28"/>
          <w:szCs w:val="28"/>
        </w:rPr>
        <w:softHyphen/>
      </w:r>
      <w:r w:rsidRPr="00B76C91">
        <w:rPr>
          <w:b/>
          <w:bCs/>
          <w:i/>
          <w:iCs/>
          <w:color w:val="B84809"/>
          <w:sz w:val="28"/>
          <w:szCs w:val="28"/>
        </w:rPr>
        <w:t>environmental SCIENTIST</w:t>
      </w:r>
      <w:r w:rsidRPr="00B76C91">
        <w:rPr>
          <w:b/>
          <w:bCs/>
          <w:color w:val="B84809"/>
          <w:sz w:val="28"/>
          <w:szCs w:val="28"/>
        </w:rPr>
        <w:t xml:space="preserve"> journal: </w:t>
      </w:r>
      <w:r>
        <w:rPr>
          <w:b/>
          <w:bCs/>
          <w:color w:val="B84809"/>
          <w:sz w:val="28"/>
          <w:szCs w:val="28"/>
        </w:rPr>
        <w:t>L</w:t>
      </w:r>
      <w:r w:rsidRPr="00B76C91">
        <w:rPr>
          <w:b/>
          <w:bCs/>
          <w:color w:val="B84809"/>
          <w:sz w:val="28"/>
          <w:szCs w:val="28"/>
        </w:rPr>
        <w:t xml:space="preserve">earning </w:t>
      </w:r>
      <w:r>
        <w:rPr>
          <w:b/>
          <w:bCs/>
          <w:color w:val="B84809"/>
          <w:sz w:val="28"/>
          <w:szCs w:val="28"/>
        </w:rPr>
        <w:t>R</w:t>
      </w:r>
      <w:r w:rsidRPr="00B76C91">
        <w:rPr>
          <w:b/>
          <w:bCs/>
          <w:color w:val="B84809"/>
          <w:sz w:val="28"/>
          <w:szCs w:val="28"/>
        </w:rPr>
        <w:t xml:space="preserve">esource </w:t>
      </w:r>
      <w:r>
        <w:rPr>
          <w:b/>
          <w:bCs/>
          <w:color w:val="B84809"/>
          <w:sz w:val="28"/>
          <w:szCs w:val="28"/>
        </w:rPr>
        <w:t>N</w:t>
      </w:r>
      <w:r w:rsidRPr="00B76C91">
        <w:rPr>
          <w:b/>
          <w:bCs/>
          <w:color w:val="B84809"/>
          <w:sz w:val="28"/>
          <w:szCs w:val="28"/>
        </w:rPr>
        <w:t>otes</w:t>
      </w:r>
    </w:p>
    <w:p w14:paraId="1CB4581B" w14:textId="77777777" w:rsidR="000C44AD" w:rsidRDefault="000C44AD" w:rsidP="000C44AD">
      <w:pPr>
        <w:pStyle w:val="NoSpacing"/>
        <w:jc w:val="both"/>
      </w:pPr>
      <w:r w:rsidRPr="00707821">
        <w:t xml:space="preserve">The purpose of </w:t>
      </w:r>
      <w:r>
        <w:t>these educational resource</w:t>
      </w:r>
      <w:r w:rsidRPr="00707821">
        <w:t xml:space="preserve"> </w:t>
      </w:r>
      <w:r>
        <w:t xml:space="preserve">notes </w:t>
      </w:r>
      <w:r w:rsidRPr="00707821">
        <w:t>is to provide a format for informal, seminar-style discussions of the topics explored</w:t>
      </w:r>
      <w:r>
        <w:t xml:space="preserve"> in the latest edition of the journal of the Institution of Environmental Sciences. </w:t>
      </w:r>
    </w:p>
    <w:p w14:paraId="4DA4CE23" w14:textId="77777777" w:rsidR="000C44AD" w:rsidRDefault="000C44AD" w:rsidP="000C44AD">
      <w:pPr>
        <w:pStyle w:val="NoSpacing"/>
        <w:jc w:val="both"/>
      </w:pPr>
      <w:r>
        <w:t xml:space="preserve"> </w:t>
      </w:r>
    </w:p>
    <w:p w14:paraId="4684F5BF" w14:textId="77777777" w:rsidR="000C44AD" w:rsidRDefault="000C44AD" w:rsidP="000C44AD">
      <w:pPr>
        <w:pStyle w:val="NoSpacing"/>
        <w:jc w:val="both"/>
      </w:pPr>
      <w:r>
        <w:t>T</w:t>
      </w:r>
      <w:r w:rsidRPr="00707821">
        <w:t>hrough discussion of the ideas and issues presented</w:t>
      </w:r>
      <w:r>
        <w:t xml:space="preserve"> within the journal</w:t>
      </w:r>
      <w:r w:rsidRPr="00707821">
        <w:t xml:space="preserve">, </w:t>
      </w:r>
      <w:r>
        <w:t xml:space="preserve">they </w:t>
      </w:r>
      <w:r w:rsidRPr="00707821">
        <w:t xml:space="preserve">aim to supplement and enhance students’ knowledge and understanding </w:t>
      </w:r>
      <w:r>
        <w:t>of</w:t>
      </w:r>
      <w:r w:rsidRPr="00707821">
        <w:t xml:space="preserve"> a broad range of environmental science issues</w:t>
      </w:r>
      <w:r>
        <w:t xml:space="preserve"> and provide insights into the professional concerns of practising environmental scientists.</w:t>
      </w:r>
    </w:p>
    <w:p w14:paraId="75D482D7" w14:textId="77777777" w:rsidR="000C44AD" w:rsidRDefault="000C44AD" w:rsidP="000C44AD">
      <w:pPr>
        <w:pStyle w:val="NoSpacing"/>
        <w:rPr>
          <w:b/>
          <w:bCs/>
        </w:rPr>
      </w:pPr>
    </w:p>
    <w:p w14:paraId="74AC65DE" w14:textId="77777777" w:rsidR="000C44AD" w:rsidRPr="00D33F67" w:rsidRDefault="000C44AD" w:rsidP="000C44AD">
      <w:pPr>
        <w:pStyle w:val="NoSpacing"/>
        <w:rPr>
          <w:b/>
          <w:bCs/>
        </w:rPr>
      </w:pPr>
      <w:r w:rsidRPr="00D33F67">
        <w:rPr>
          <w:b/>
          <w:bCs/>
        </w:rPr>
        <w:t>Articles in focus</w:t>
      </w:r>
      <w:r>
        <w:rPr>
          <w:b/>
          <w:bCs/>
        </w:rPr>
        <w:t xml:space="preserve"> </w:t>
      </w:r>
    </w:p>
    <w:p w14:paraId="14CCE7EB" w14:textId="77777777" w:rsidR="000C44AD" w:rsidRDefault="000C44AD" w:rsidP="000C44AD">
      <w:pPr>
        <w:pStyle w:val="NoSpacing"/>
        <w:jc w:val="both"/>
        <w:rPr>
          <w:color w:val="000000"/>
        </w:rPr>
      </w:pPr>
      <w:r>
        <w:t>The below articles have been selected as particularly relevant for in-depth discussion, allowing for wider debate of the key elements of the article topic. S</w:t>
      </w:r>
      <w:r w:rsidRPr="00876C46">
        <w:rPr>
          <w:rFonts w:ascii="Calibri" w:hAnsi="Calibri"/>
          <w:color w:val="000000"/>
        </w:rPr>
        <w:t xml:space="preserve">ome </w:t>
      </w:r>
      <w:r>
        <w:t>specific</w:t>
      </w:r>
      <w:r w:rsidRPr="00876C46">
        <w:rPr>
          <w:rFonts w:ascii="Calibri" w:hAnsi="Calibri"/>
          <w:color w:val="000000"/>
        </w:rPr>
        <w:t xml:space="preserve"> questions you may </w:t>
      </w:r>
      <w:r>
        <w:t>wish</w:t>
      </w:r>
      <w:r w:rsidRPr="00876C46">
        <w:rPr>
          <w:rFonts w:ascii="Calibri" w:hAnsi="Calibri"/>
          <w:color w:val="000000"/>
        </w:rPr>
        <w:t xml:space="preserve"> to consider when reading and discussing </w:t>
      </w:r>
      <w:r>
        <w:t xml:space="preserve">these </w:t>
      </w:r>
      <w:r w:rsidRPr="00876C46">
        <w:rPr>
          <w:rFonts w:ascii="Calibri" w:hAnsi="Calibri"/>
          <w:color w:val="000000"/>
        </w:rPr>
        <w:t>articles </w:t>
      </w:r>
      <w:r>
        <w:t>are outlined.</w:t>
      </w:r>
      <w:r w:rsidRPr="00876C46">
        <w:rPr>
          <w:color w:val="000000"/>
        </w:rPr>
        <w:t xml:space="preserve"> </w:t>
      </w:r>
    </w:p>
    <w:p w14:paraId="66252669" w14:textId="77777777" w:rsidR="001A1C83" w:rsidRDefault="001A1C83" w:rsidP="000C44AD">
      <w:pPr>
        <w:pStyle w:val="NoSpacing"/>
        <w:jc w:val="both"/>
        <w:rPr>
          <w:color w:val="000000"/>
        </w:rPr>
      </w:pPr>
    </w:p>
    <w:p w14:paraId="318EB6CF" w14:textId="77777777" w:rsidR="001A1C83" w:rsidRPr="00D33F67" w:rsidRDefault="001A1C83" w:rsidP="000C44AD">
      <w:pPr>
        <w:pStyle w:val="NoSpacing"/>
        <w:jc w:val="both"/>
        <w:rPr>
          <w:color w:val="000000"/>
        </w:rPr>
      </w:pPr>
    </w:p>
    <w:p w14:paraId="13E9D600" w14:textId="77777777" w:rsidR="000C44AD" w:rsidRDefault="000C44AD" w:rsidP="000C44AD">
      <w:pPr>
        <w:pStyle w:val="NoSpacing"/>
      </w:pPr>
    </w:p>
    <w:tbl>
      <w:tblPr>
        <w:tblStyle w:val="TableGrid"/>
        <w:tblW w:w="9498" w:type="dxa"/>
        <w:tblInd w:w="-5" w:type="dxa"/>
        <w:tblLook w:val="04A0" w:firstRow="1" w:lastRow="0" w:firstColumn="1" w:lastColumn="0" w:noHBand="0" w:noVBand="1"/>
      </w:tblPr>
      <w:tblGrid>
        <w:gridCol w:w="1696"/>
        <w:gridCol w:w="7802"/>
      </w:tblGrid>
      <w:tr w:rsidR="000C44AD" w14:paraId="092CD0B7" w14:textId="77777777" w:rsidTr="006840A8">
        <w:trPr>
          <w:trHeight w:val="1375"/>
        </w:trPr>
        <w:tc>
          <w:tcPr>
            <w:tcW w:w="1696" w:type="dxa"/>
            <w:shd w:val="clear" w:color="auto" w:fill="D9D9D9" w:themeFill="background1" w:themeFillShade="D9"/>
            <w:vAlign w:val="center"/>
          </w:tcPr>
          <w:p w14:paraId="0CC37740" w14:textId="77777777" w:rsidR="000C44AD" w:rsidRPr="00751B40" w:rsidRDefault="000C44AD" w:rsidP="009008C7">
            <w:r w:rsidRPr="00751B40">
              <w:t>Learning outcomes</w:t>
            </w:r>
          </w:p>
        </w:tc>
        <w:tc>
          <w:tcPr>
            <w:tcW w:w="7802" w:type="dxa"/>
            <w:vAlign w:val="center"/>
          </w:tcPr>
          <w:p w14:paraId="41C27D09" w14:textId="77777777" w:rsidR="000C44AD" w:rsidRDefault="000C44AD" w:rsidP="009008C7">
            <w:pPr>
              <w:pStyle w:val="ListParagraph"/>
              <w:numPr>
                <w:ilvl w:val="0"/>
                <w:numId w:val="1"/>
              </w:numPr>
            </w:pPr>
            <w:r>
              <w:t xml:space="preserve">Understand the main ideas discussed in the </w:t>
            </w:r>
            <w:proofErr w:type="gramStart"/>
            <w:r>
              <w:t>publication</w:t>
            </w:r>
            <w:proofErr w:type="gramEnd"/>
            <w:r>
              <w:t xml:space="preserve"> </w:t>
            </w:r>
          </w:p>
          <w:p w14:paraId="5D43913E" w14:textId="77777777" w:rsidR="000C44AD" w:rsidRDefault="000C44AD" w:rsidP="009008C7">
            <w:pPr>
              <w:pStyle w:val="ListParagraph"/>
              <w:numPr>
                <w:ilvl w:val="0"/>
                <w:numId w:val="1"/>
              </w:numPr>
            </w:pPr>
            <w:r>
              <w:t xml:space="preserve">Describe the main conclusions and their relevance to the environmental science </w:t>
            </w:r>
            <w:proofErr w:type="gramStart"/>
            <w:r>
              <w:t>sector</w:t>
            </w:r>
            <w:proofErr w:type="gramEnd"/>
          </w:p>
          <w:p w14:paraId="0427E29A" w14:textId="77777777" w:rsidR="000C44AD" w:rsidRPr="00751B40" w:rsidRDefault="000C44AD" w:rsidP="009008C7">
            <w:pPr>
              <w:pStyle w:val="ListParagraph"/>
              <w:numPr>
                <w:ilvl w:val="0"/>
                <w:numId w:val="1"/>
              </w:numPr>
            </w:pPr>
            <w:r>
              <w:t>Critically reflect on the main concepts discussed</w:t>
            </w:r>
          </w:p>
        </w:tc>
      </w:tr>
      <w:tr w:rsidR="000C44AD" w14:paraId="13875D6B" w14:textId="77777777" w:rsidTr="006840A8">
        <w:trPr>
          <w:trHeight w:val="3110"/>
        </w:trPr>
        <w:tc>
          <w:tcPr>
            <w:tcW w:w="1696" w:type="dxa"/>
            <w:shd w:val="clear" w:color="auto" w:fill="D9D9D9" w:themeFill="background1" w:themeFillShade="D9"/>
            <w:vAlign w:val="center"/>
          </w:tcPr>
          <w:p w14:paraId="174FBAC0" w14:textId="77777777" w:rsidR="000C44AD" w:rsidRPr="00751B40" w:rsidRDefault="000C44AD" w:rsidP="009008C7">
            <w:r>
              <w:t>Format</w:t>
            </w:r>
          </w:p>
        </w:tc>
        <w:tc>
          <w:tcPr>
            <w:tcW w:w="7802" w:type="dxa"/>
            <w:vAlign w:val="center"/>
          </w:tcPr>
          <w:p w14:paraId="68BC090D" w14:textId="77777777" w:rsidR="000C44AD" w:rsidRDefault="000C44AD" w:rsidP="009008C7">
            <w:pPr>
              <w:pStyle w:val="NoSpacing"/>
              <w:numPr>
                <w:ilvl w:val="0"/>
                <w:numId w:val="1"/>
              </w:numPr>
            </w:pPr>
            <w:r>
              <w:t xml:space="preserve">Articles of particular interest are to be selected and shared with the group to read ahead of the discussion. Suggestions of focus articles are attached </w:t>
            </w:r>
            <w:proofErr w:type="gramStart"/>
            <w:r>
              <w:t>here</w:t>
            </w:r>
            <w:proofErr w:type="gramEnd"/>
          </w:p>
          <w:p w14:paraId="10B4257F" w14:textId="77777777" w:rsidR="000C44AD" w:rsidRDefault="000C44AD" w:rsidP="009008C7">
            <w:pPr>
              <w:pStyle w:val="NoSpacing"/>
              <w:numPr>
                <w:ilvl w:val="0"/>
                <w:numId w:val="1"/>
              </w:numPr>
            </w:pPr>
            <w:r>
              <w:t xml:space="preserve">Small group discussions of articles that closely relate to programme content to supplement </w:t>
            </w:r>
            <w:proofErr w:type="gramStart"/>
            <w:r>
              <w:t>learning</w:t>
            </w:r>
            <w:proofErr w:type="gramEnd"/>
          </w:p>
          <w:p w14:paraId="6A0F3095" w14:textId="77777777" w:rsidR="000C44AD" w:rsidRDefault="000C44AD" w:rsidP="009008C7">
            <w:pPr>
              <w:pStyle w:val="NoSpacing"/>
              <w:numPr>
                <w:ilvl w:val="0"/>
                <w:numId w:val="1"/>
              </w:numPr>
            </w:pPr>
            <w:r>
              <w:t xml:space="preserve">Discussions can be led by participants or the tutor, using the ‘articles in focus’ resource to prompt debate and aid the </w:t>
            </w:r>
            <w:proofErr w:type="gramStart"/>
            <w:r>
              <w:t>conversation</w:t>
            </w:r>
            <w:proofErr w:type="gramEnd"/>
          </w:p>
          <w:p w14:paraId="63C7ADDA" w14:textId="77777777" w:rsidR="000C44AD" w:rsidRDefault="000C44AD" w:rsidP="009008C7">
            <w:pPr>
              <w:pStyle w:val="NoSpacing"/>
              <w:numPr>
                <w:ilvl w:val="0"/>
                <w:numId w:val="1"/>
              </w:numPr>
            </w:pPr>
            <w:r w:rsidRPr="00095DF9">
              <w:t>The suggested discussion points</w:t>
            </w:r>
            <w:r>
              <w:t xml:space="preserve"> and </w:t>
            </w:r>
            <w:r w:rsidRPr="00095DF9">
              <w:t xml:space="preserve">questions provided in this pack for selected articles can be used as a starting point to guide the </w:t>
            </w:r>
            <w:proofErr w:type="gramStart"/>
            <w:r w:rsidRPr="00095DF9">
              <w:t>discussion</w:t>
            </w:r>
            <w:proofErr w:type="gramEnd"/>
            <w:r>
              <w:t xml:space="preserve"> </w:t>
            </w:r>
          </w:p>
          <w:p w14:paraId="7E656958" w14:textId="77777777" w:rsidR="000C44AD" w:rsidRPr="00D33F67" w:rsidRDefault="000C44AD" w:rsidP="009008C7">
            <w:pPr>
              <w:pStyle w:val="NoSpacing"/>
              <w:numPr>
                <w:ilvl w:val="0"/>
                <w:numId w:val="1"/>
              </w:numPr>
            </w:pPr>
            <w:r>
              <w:t>Students can be encouraged to choose to discuss any of the other articles within the issue</w:t>
            </w:r>
          </w:p>
        </w:tc>
      </w:tr>
    </w:tbl>
    <w:p w14:paraId="4B177C81" w14:textId="77777777" w:rsidR="000C44AD" w:rsidRPr="00EA0741" w:rsidRDefault="000C44AD" w:rsidP="000C44AD">
      <w:pPr>
        <w:rPr>
          <w:sz w:val="20"/>
          <w:szCs w:val="20"/>
        </w:rPr>
      </w:pPr>
    </w:p>
    <w:p w14:paraId="5F104843" w14:textId="02832700" w:rsidR="000C44AD" w:rsidRDefault="000C44AD" w:rsidP="000C44AD">
      <w:pPr>
        <w:rPr>
          <w:b/>
          <w:bCs/>
        </w:rPr>
      </w:pPr>
      <w:r>
        <w:rPr>
          <w:noProof/>
          <w14:ligatures w14:val="standardContextual"/>
        </w:rPr>
        <w:drawing>
          <wp:anchor distT="0" distB="0" distL="114300" distR="114300" simplePos="0" relativeHeight="251658240" behindDoc="0" locked="0" layoutInCell="1" allowOverlap="1" wp14:anchorId="7C7BD1E2" wp14:editId="64B1F9EE">
            <wp:simplePos x="0" y="0"/>
            <wp:positionH relativeFrom="column">
              <wp:posOffset>3810</wp:posOffset>
            </wp:positionH>
            <wp:positionV relativeFrom="paragraph">
              <wp:posOffset>-1905</wp:posOffset>
            </wp:positionV>
            <wp:extent cx="1629779" cy="2354125"/>
            <wp:effectExtent l="0" t="0" r="8890" b="8255"/>
            <wp:wrapSquare wrapText="bothSides"/>
            <wp:docPr id="1600721181" name="Picture 160072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21181" name="Picture 1600721181"/>
                    <pic:cNvPicPr/>
                  </pic:nvPicPr>
                  <pic:blipFill>
                    <a:blip r:embed="rId10">
                      <a:extLst>
                        <a:ext uri="{28A0092B-C50C-407E-A947-70E740481C1C}">
                          <a14:useLocalDpi xmlns:a14="http://schemas.microsoft.com/office/drawing/2010/main" val="0"/>
                        </a:ext>
                      </a:extLst>
                    </a:blip>
                    <a:stretch>
                      <a:fillRect/>
                    </a:stretch>
                  </pic:blipFill>
                  <pic:spPr>
                    <a:xfrm>
                      <a:off x="0" y="0"/>
                      <a:ext cx="1629779" cy="2354125"/>
                    </a:xfrm>
                    <a:prstGeom prst="rect">
                      <a:avLst/>
                    </a:prstGeom>
                  </pic:spPr>
                </pic:pic>
              </a:graphicData>
            </a:graphic>
          </wp:anchor>
        </w:drawing>
      </w:r>
      <w:r w:rsidRPr="00B76C91">
        <w:t>e</w:t>
      </w:r>
      <w:r w:rsidRPr="61B65E75">
        <w:rPr>
          <w:i/>
          <w:iCs/>
        </w:rPr>
        <w:t>nvironmental SCIENTIST</w:t>
      </w:r>
      <w:r>
        <w:rPr>
          <w:b/>
          <w:bCs/>
        </w:rPr>
        <w:br/>
        <w:t>Seeking Natural Justice</w:t>
      </w:r>
      <w:r>
        <w:rPr>
          <w:b/>
          <w:bCs/>
        </w:rPr>
        <w:br/>
      </w:r>
      <w:r w:rsidRPr="00B76C91">
        <w:t xml:space="preserve">Vol </w:t>
      </w:r>
      <w:r>
        <w:t xml:space="preserve">32, issue </w:t>
      </w:r>
      <w:proofErr w:type="gramStart"/>
      <w:r>
        <w:t>3</w:t>
      </w:r>
      <w:proofErr w:type="gramEnd"/>
    </w:p>
    <w:p w14:paraId="3CFE666A" w14:textId="2AFE0D18" w:rsidR="000C44AD" w:rsidRDefault="00000000" w:rsidP="000C44AD">
      <w:pPr>
        <w:pStyle w:val="NoSpacing"/>
        <w:rPr>
          <w:b/>
          <w:bCs/>
        </w:rPr>
      </w:pPr>
      <w:hyperlink r:id="rId11" w:history="1">
        <w:r w:rsidR="000C44AD" w:rsidRPr="0044199B">
          <w:rPr>
            <w:rStyle w:val="Hyperlink"/>
          </w:rPr>
          <w:t>https://www.the-ies.org/resources/seeking-natural-justice</w:t>
        </w:r>
      </w:hyperlink>
      <w:r w:rsidR="000C44AD">
        <w:t xml:space="preserve"> </w:t>
      </w:r>
    </w:p>
    <w:p w14:paraId="06ABB5D2" w14:textId="77777777" w:rsidR="000C44AD" w:rsidRDefault="000C44AD" w:rsidP="000C44AD">
      <w:pPr>
        <w:pStyle w:val="NoSpacing"/>
        <w:rPr>
          <w:b/>
          <w:bCs/>
        </w:rPr>
      </w:pPr>
    </w:p>
    <w:p w14:paraId="046AED71" w14:textId="77777777" w:rsidR="000C44AD" w:rsidRDefault="000C44AD" w:rsidP="000C44AD">
      <w:pPr>
        <w:pStyle w:val="NoSpacing"/>
        <w:rPr>
          <w:b/>
          <w:bCs/>
        </w:rPr>
      </w:pPr>
    </w:p>
    <w:p w14:paraId="1523CBB7" w14:textId="77777777" w:rsidR="000C44AD" w:rsidRDefault="000C44AD" w:rsidP="000C44AD">
      <w:pPr>
        <w:pStyle w:val="NoSpacing"/>
        <w:rPr>
          <w:b/>
          <w:bCs/>
          <w:sz w:val="30"/>
          <w:szCs w:val="30"/>
        </w:rPr>
      </w:pPr>
    </w:p>
    <w:p w14:paraId="194ADFC8" w14:textId="77777777" w:rsidR="000C44AD" w:rsidRDefault="000C44AD" w:rsidP="000C44AD">
      <w:pPr>
        <w:pStyle w:val="NoSpacing"/>
        <w:rPr>
          <w:b/>
          <w:bCs/>
          <w:sz w:val="30"/>
          <w:szCs w:val="30"/>
        </w:rPr>
      </w:pPr>
    </w:p>
    <w:p w14:paraId="6877CD40" w14:textId="77777777" w:rsidR="000C44AD" w:rsidRPr="00EA0741" w:rsidRDefault="000C44AD" w:rsidP="000C44AD">
      <w:pPr>
        <w:pStyle w:val="NoSpacing"/>
        <w:rPr>
          <w:b/>
          <w:bCs/>
          <w:sz w:val="30"/>
          <w:szCs w:val="30"/>
        </w:rPr>
      </w:pPr>
    </w:p>
    <w:p w14:paraId="570A0909" w14:textId="77777777" w:rsidR="000C44AD" w:rsidRPr="00EA0741" w:rsidRDefault="000C44AD" w:rsidP="000C44AD">
      <w:pPr>
        <w:pStyle w:val="NoSpacing"/>
        <w:rPr>
          <w:b/>
          <w:bCs/>
          <w:sz w:val="2"/>
          <w:szCs w:val="2"/>
        </w:rPr>
      </w:pPr>
    </w:p>
    <w:tbl>
      <w:tblPr>
        <w:tblStyle w:val="TableGrid"/>
        <w:tblW w:w="9498" w:type="dxa"/>
        <w:tblInd w:w="-5" w:type="dxa"/>
        <w:tblLook w:val="04A0" w:firstRow="1" w:lastRow="0" w:firstColumn="1" w:lastColumn="0" w:noHBand="0" w:noVBand="1"/>
      </w:tblPr>
      <w:tblGrid>
        <w:gridCol w:w="1701"/>
        <w:gridCol w:w="7797"/>
      </w:tblGrid>
      <w:tr w:rsidR="000C44AD" w:rsidRPr="008C066D" w14:paraId="1F5329CB" w14:textId="77777777" w:rsidTr="107A562E">
        <w:trPr>
          <w:trHeight w:val="2162"/>
        </w:trPr>
        <w:tc>
          <w:tcPr>
            <w:tcW w:w="1701" w:type="dxa"/>
            <w:shd w:val="clear" w:color="auto" w:fill="D9D9D9" w:themeFill="background1" w:themeFillShade="D9"/>
            <w:vAlign w:val="center"/>
          </w:tcPr>
          <w:p w14:paraId="3709709E" w14:textId="77777777" w:rsidR="000C44AD" w:rsidRPr="00111858" w:rsidRDefault="000C44AD" w:rsidP="009008C7">
            <w:pPr>
              <w:rPr>
                <w:b/>
                <w:bCs/>
              </w:rPr>
            </w:pPr>
            <w:r w:rsidRPr="00111858">
              <w:rPr>
                <w:b/>
                <w:bCs/>
              </w:rPr>
              <w:lastRenderedPageBreak/>
              <w:t xml:space="preserve">Topic overview </w:t>
            </w:r>
          </w:p>
        </w:tc>
        <w:tc>
          <w:tcPr>
            <w:tcW w:w="7797" w:type="dxa"/>
            <w:vAlign w:val="center"/>
          </w:tcPr>
          <w:p w14:paraId="0D0D4F5D" w14:textId="38461DE5" w:rsidR="006F432D" w:rsidRDefault="006F432D" w:rsidP="006F432D">
            <w:pPr>
              <w:pStyle w:val="NoSpacing"/>
              <w:spacing w:before="60" w:after="240"/>
            </w:pPr>
            <w:r>
              <w:t>How we respond to matters of environmental justice in the present will shape our society well into the future, as the world grapples with the intensifying effects of climate change and countless other environmental pressures.</w:t>
            </w:r>
          </w:p>
          <w:p w14:paraId="003228C8" w14:textId="52AA6D0A" w:rsidR="000C44AD" w:rsidRPr="00EA0741" w:rsidRDefault="006F432D" w:rsidP="006F432D">
            <w:pPr>
              <w:pStyle w:val="NoSpacing"/>
              <w:spacing w:before="60"/>
            </w:pPr>
            <w:r>
              <w:t>Exploring a range of environmental injustices - from the dumping of hazardous waste in a predominantly Black neighbourhood in Dallas, Texas, to disaster capitalism in Barbuda following Hurricane Irma - this edition sheds light on the inequalities inherent in environmental damage. Crucially, these articles also consider routes to attaining environmental justice: such as working with legal systems, engaging in civil disobedience, or creating innovative new ways to hold corporations and authorities to account for environmental wrongdoing. Ultimately, this issue of environmental SCIENTIST examines how – and if – environmental justice can be achieved, particularly for the most vulnerable communities on the front line of the climate crisis.</w:t>
            </w:r>
          </w:p>
        </w:tc>
      </w:tr>
      <w:tr w:rsidR="000C44AD" w:rsidRPr="008C066D" w14:paraId="790E8F0A" w14:textId="77777777" w:rsidTr="107A562E">
        <w:trPr>
          <w:trHeight w:val="289"/>
        </w:trPr>
        <w:tc>
          <w:tcPr>
            <w:tcW w:w="9498" w:type="dxa"/>
            <w:gridSpan w:val="2"/>
            <w:shd w:val="clear" w:color="auto" w:fill="D9D9D9" w:themeFill="background1" w:themeFillShade="D9"/>
          </w:tcPr>
          <w:p w14:paraId="54771FDF" w14:textId="77777777" w:rsidR="000C44AD" w:rsidRPr="00111858" w:rsidRDefault="000C44AD" w:rsidP="009008C7">
            <w:pPr>
              <w:pStyle w:val="NoSpacing"/>
              <w:jc w:val="center"/>
              <w:rPr>
                <w:b/>
                <w:bCs/>
              </w:rPr>
            </w:pPr>
            <w:r w:rsidRPr="00111858">
              <w:rPr>
                <w:b/>
                <w:bCs/>
              </w:rPr>
              <w:t xml:space="preserve">Articles in </w:t>
            </w:r>
            <w:r>
              <w:rPr>
                <w:b/>
                <w:bCs/>
              </w:rPr>
              <w:t>f</w:t>
            </w:r>
            <w:r w:rsidRPr="00111858">
              <w:rPr>
                <w:b/>
                <w:bCs/>
              </w:rPr>
              <w:t>ocus</w:t>
            </w:r>
          </w:p>
        </w:tc>
      </w:tr>
      <w:tr w:rsidR="000C44AD" w:rsidRPr="008C066D" w14:paraId="4DEE0A0C" w14:textId="77777777" w:rsidTr="107A562E">
        <w:trPr>
          <w:trHeight w:val="965"/>
        </w:trPr>
        <w:tc>
          <w:tcPr>
            <w:tcW w:w="1701" w:type="dxa"/>
            <w:vMerge w:val="restart"/>
            <w:shd w:val="clear" w:color="auto" w:fill="D9D9D9" w:themeFill="background1" w:themeFillShade="D9"/>
            <w:vAlign w:val="center"/>
          </w:tcPr>
          <w:p w14:paraId="1496DEB2" w14:textId="56DC1338" w:rsidR="000C44AD" w:rsidRDefault="00326274" w:rsidP="009008C7">
            <w:pPr>
              <w:rPr>
                <w:b/>
                <w:bCs/>
              </w:rPr>
            </w:pPr>
            <w:r w:rsidRPr="00326274">
              <w:rPr>
                <w:b/>
                <w:bCs/>
              </w:rPr>
              <w:t>The Aarhus Convention’s new frontiers</w:t>
            </w:r>
          </w:p>
          <w:p w14:paraId="741BDEDF" w14:textId="77777777" w:rsidR="00326274" w:rsidRDefault="00326274" w:rsidP="009008C7">
            <w:pPr>
              <w:rPr>
                <w:b/>
                <w:bCs/>
              </w:rPr>
            </w:pPr>
          </w:p>
          <w:p w14:paraId="7AEA0610" w14:textId="07C2F336" w:rsidR="000C44AD" w:rsidRDefault="00326274" w:rsidP="009008C7">
            <w:pPr>
              <w:rPr>
                <w:b/>
                <w:bCs/>
              </w:rPr>
            </w:pPr>
            <w:r>
              <w:rPr>
                <w:b/>
                <w:bCs/>
              </w:rPr>
              <w:t>Anna Berti Suman</w:t>
            </w:r>
            <w:r w:rsidR="000C44AD" w:rsidRPr="00B4097E">
              <w:rPr>
                <w:b/>
                <w:bCs/>
              </w:rPr>
              <w:t xml:space="preserve"> </w:t>
            </w:r>
            <w:r w:rsidR="000C44AD" w:rsidRPr="0007383B">
              <w:rPr>
                <w:b/>
                <w:bCs/>
              </w:rPr>
              <w:t>(p.</w:t>
            </w:r>
            <w:r>
              <w:rPr>
                <w:b/>
                <w:bCs/>
              </w:rPr>
              <w:t>10</w:t>
            </w:r>
            <w:r w:rsidR="000C44AD" w:rsidRPr="0007383B">
              <w:rPr>
                <w:b/>
                <w:bCs/>
              </w:rPr>
              <w:t>)</w:t>
            </w:r>
          </w:p>
          <w:p w14:paraId="7EF784E0" w14:textId="77777777" w:rsidR="000C44AD" w:rsidRPr="008C7366" w:rsidRDefault="000C44AD" w:rsidP="009008C7">
            <w:pPr>
              <w:rPr>
                <w:b/>
                <w:bCs/>
              </w:rPr>
            </w:pPr>
          </w:p>
        </w:tc>
        <w:tc>
          <w:tcPr>
            <w:tcW w:w="7797" w:type="dxa"/>
            <w:shd w:val="clear" w:color="auto" w:fill="E7E6E6" w:themeFill="background2"/>
            <w:vAlign w:val="center"/>
          </w:tcPr>
          <w:p w14:paraId="78B18952" w14:textId="4413FA7B" w:rsidR="000C44AD" w:rsidRPr="00631919" w:rsidRDefault="000C44AD" w:rsidP="009008C7">
            <w:pPr>
              <w:pStyle w:val="NoSpacing"/>
            </w:pPr>
            <w:r w:rsidRPr="00F83AEA">
              <w:rPr>
                <w:b/>
                <w:bCs/>
              </w:rPr>
              <w:t>Article overview:</w:t>
            </w:r>
            <w:r w:rsidRPr="00F83AEA">
              <w:t xml:space="preserve"> </w:t>
            </w:r>
            <w:r>
              <w:t xml:space="preserve">This </w:t>
            </w:r>
            <w:r w:rsidR="00483B79">
              <w:t xml:space="preserve">article evaluates </w:t>
            </w:r>
            <w:r w:rsidR="0075155A">
              <w:t>new areas of environmental justice that could be protected by the Aarhus Convention</w:t>
            </w:r>
            <w:r w:rsidR="004104B9">
              <w:t xml:space="preserve"> on Access to Information, Public Participation in </w:t>
            </w:r>
            <w:proofErr w:type="gramStart"/>
            <w:r w:rsidR="004104B9">
              <w:t>Decision-Making</w:t>
            </w:r>
            <w:proofErr w:type="gramEnd"/>
            <w:r w:rsidR="004A22CA">
              <w:t xml:space="preserve"> and Access to Justice in Environmental Matters.</w:t>
            </w:r>
          </w:p>
        </w:tc>
      </w:tr>
      <w:tr w:rsidR="000C44AD" w:rsidRPr="008C066D" w14:paraId="4F73C7CD" w14:textId="77777777" w:rsidTr="107A562E">
        <w:trPr>
          <w:trHeight w:val="2539"/>
        </w:trPr>
        <w:tc>
          <w:tcPr>
            <w:tcW w:w="1701" w:type="dxa"/>
            <w:vMerge/>
          </w:tcPr>
          <w:p w14:paraId="4004408E" w14:textId="77777777" w:rsidR="000C44AD" w:rsidRPr="0007383B" w:rsidRDefault="000C44AD" w:rsidP="009008C7">
            <w:pPr>
              <w:rPr>
                <w:b/>
                <w:bCs/>
              </w:rPr>
            </w:pPr>
          </w:p>
        </w:tc>
        <w:tc>
          <w:tcPr>
            <w:tcW w:w="7797" w:type="dxa"/>
            <w:vAlign w:val="center"/>
          </w:tcPr>
          <w:p w14:paraId="619EB0BA" w14:textId="793457F5" w:rsidR="000C44AD" w:rsidRPr="00BD302E" w:rsidRDefault="00DA5EAB" w:rsidP="001A1C83">
            <w:pPr>
              <w:pStyle w:val="ListParagraph"/>
              <w:numPr>
                <w:ilvl w:val="0"/>
                <w:numId w:val="2"/>
              </w:numPr>
              <w:spacing w:after="160"/>
            </w:pPr>
            <w:r w:rsidRPr="00BD302E">
              <w:t xml:space="preserve">Describe the </w:t>
            </w:r>
            <w:r w:rsidR="005D2CA0" w:rsidRPr="00BD302E">
              <w:t xml:space="preserve">purpose of the </w:t>
            </w:r>
            <w:r w:rsidRPr="00BD302E">
              <w:t xml:space="preserve">Aarhus Convention, </w:t>
            </w:r>
            <w:r w:rsidR="005D2CA0" w:rsidRPr="00BD302E">
              <w:t xml:space="preserve">what it does, </w:t>
            </w:r>
            <w:r w:rsidRPr="00BD302E">
              <w:t>and what it seeks to do</w:t>
            </w:r>
            <w:r w:rsidR="005D2CA0" w:rsidRPr="00BD302E">
              <w:t xml:space="preserve"> to ensure protections for those raising issues of environmental justice.</w:t>
            </w:r>
          </w:p>
          <w:p w14:paraId="45245228" w14:textId="77777777" w:rsidR="00637FA7" w:rsidRPr="00BD302E" w:rsidRDefault="00117246" w:rsidP="001A1C83">
            <w:pPr>
              <w:pStyle w:val="ListParagraph"/>
              <w:numPr>
                <w:ilvl w:val="0"/>
                <w:numId w:val="2"/>
              </w:numPr>
              <w:spacing w:after="160"/>
            </w:pPr>
            <w:r w:rsidRPr="00BD302E">
              <w:t xml:space="preserve">Assess the </w:t>
            </w:r>
            <w:r w:rsidR="00C0518B" w:rsidRPr="00BD302E">
              <w:t xml:space="preserve">risks and benefits of citizen-gathered evidence in </w:t>
            </w:r>
            <w:r w:rsidR="00676922" w:rsidRPr="00BD302E">
              <w:t>holding governments, organisations, and corporations to account for environmental wrongdoing, as outlined in the section ‘Exploring Conventions as Action’.</w:t>
            </w:r>
          </w:p>
          <w:p w14:paraId="066E45AE" w14:textId="2C7BFEE9" w:rsidR="00676922" w:rsidRPr="00BD302E" w:rsidRDefault="007F220B" w:rsidP="001A1C83">
            <w:pPr>
              <w:pStyle w:val="ListParagraph"/>
              <w:numPr>
                <w:ilvl w:val="0"/>
                <w:numId w:val="2"/>
              </w:numPr>
              <w:spacing w:after="160"/>
            </w:pPr>
            <w:r w:rsidRPr="00BD302E">
              <w:t>Evaluate the strengths and weaknesses of the current Aarhus Convention in protecting human and environmental rights</w:t>
            </w:r>
            <w:r w:rsidR="00D05755" w:rsidRPr="00BD302E">
              <w:t>. What could be done to ensure that the Convention is being properly interpreted and applied in practice?</w:t>
            </w:r>
          </w:p>
        </w:tc>
      </w:tr>
      <w:tr w:rsidR="000C44AD" w:rsidRPr="008C066D" w14:paraId="6EA2F7B0" w14:textId="77777777" w:rsidTr="107A562E">
        <w:trPr>
          <w:trHeight w:val="987"/>
        </w:trPr>
        <w:tc>
          <w:tcPr>
            <w:tcW w:w="1701" w:type="dxa"/>
            <w:vMerge w:val="restart"/>
            <w:shd w:val="clear" w:color="auto" w:fill="D9D9D9" w:themeFill="background1" w:themeFillShade="D9"/>
            <w:vAlign w:val="center"/>
          </w:tcPr>
          <w:p w14:paraId="4806253E" w14:textId="3A54F12F" w:rsidR="000C44AD" w:rsidRDefault="00A8278F" w:rsidP="009008C7">
            <w:pPr>
              <w:rPr>
                <w:b/>
                <w:bCs/>
              </w:rPr>
            </w:pPr>
            <w:r w:rsidRPr="00A8278F">
              <w:rPr>
                <w:b/>
                <w:bCs/>
              </w:rPr>
              <w:t xml:space="preserve">Empowering Indigenous organisations through the </w:t>
            </w:r>
            <w:proofErr w:type="spellStart"/>
            <w:r w:rsidRPr="00A8278F">
              <w:rPr>
                <w:b/>
                <w:bCs/>
              </w:rPr>
              <w:t>ForestLink</w:t>
            </w:r>
            <w:proofErr w:type="spellEnd"/>
            <w:r w:rsidRPr="00A8278F">
              <w:rPr>
                <w:b/>
                <w:bCs/>
              </w:rPr>
              <w:t xml:space="preserve"> monitoring system in Madre de Dios, Peru</w:t>
            </w:r>
          </w:p>
          <w:p w14:paraId="1F9E91C7" w14:textId="77777777" w:rsidR="00A8278F" w:rsidRDefault="00A8278F" w:rsidP="009008C7">
            <w:pPr>
              <w:rPr>
                <w:b/>
                <w:bCs/>
              </w:rPr>
            </w:pPr>
          </w:p>
          <w:p w14:paraId="6A7CDB28" w14:textId="5D2C7E22" w:rsidR="000C44AD" w:rsidRPr="0007383B" w:rsidRDefault="00A8278F" w:rsidP="009008C7">
            <w:pPr>
              <w:rPr>
                <w:b/>
                <w:bCs/>
              </w:rPr>
            </w:pPr>
            <w:r w:rsidRPr="00A8278F">
              <w:rPr>
                <w:b/>
                <w:bCs/>
              </w:rPr>
              <w:t xml:space="preserve">Ernesto F. </w:t>
            </w:r>
            <w:proofErr w:type="spellStart"/>
            <w:r w:rsidRPr="00A8278F">
              <w:rPr>
                <w:b/>
                <w:bCs/>
              </w:rPr>
              <w:t>Ráez</w:t>
            </w:r>
            <w:proofErr w:type="spellEnd"/>
            <w:r w:rsidRPr="00A8278F">
              <w:rPr>
                <w:b/>
                <w:bCs/>
              </w:rPr>
              <w:t xml:space="preserve"> Luna, Víctor Milla Quesada, Ana Osuna </w:t>
            </w:r>
            <w:proofErr w:type="gramStart"/>
            <w:r w:rsidRPr="00A8278F">
              <w:rPr>
                <w:b/>
                <w:bCs/>
              </w:rPr>
              <w:t>Orozco</w:t>
            </w:r>
            <w:proofErr w:type="gramEnd"/>
            <w:r w:rsidRPr="00A8278F">
              <w:rPr>
                <w:b/>
                <w:bCs/>
              </w:rPr>
              <w:t xml:space="preserve"> and Joe Eise </w:t>
            </w:r>
            <w:r w:rsidR="000C44AD">
              <w:rPr>
                <w:b/>
                <w:bCs/>
              </w:rPr>
              <w:t>(p. 2</w:t>
            </w:r>
            <w:r>
              <w:rPr>
                <w:b/>
                <w:bCs/>
              </w:rPr>
              <w:t>4</w:t>
            </w:r>
            <w:r w:rsidR="000C44AD">
              <w:rPr>
                <w:b/>
                <w:bCs/>
              </w:rPr>
              <w:t>)</w:t>
            </w:r>
          </w:p>
        </w:tc>
        <w:tc>
          <w:tcPr>
            <w:tcW w:w="7797" w:type="dxa"/>
            <w:shd w:val="clear" w:color="auto" w:fill="E7E6E6" w:themeFill="background2"/>
            <w:vAlign w:val="center"/>
          </w:tcPr>
          <w:p w14:paraId="52F07AC7" w14:textId="757FF172" w:rsidR="000C44AD" w:rsidRPr="00DC1FEB" w:rsidRDefault="000C44AD" w:rsidP="009008C7">
            <w:pPr>
              <w:pStyle w:val="NoSpacing"/>
            </w:pPr>
            <w:r>
              <w:rPr>
                <w:b/>
                <w:bCs/>
              </w:rPr>
              <w:t>Article overview:</w:t>
            </w:r>
            <w:r w:rsidRPr="002D07E1">
              <w:t xml:space="preserve"> </w:t>
            </w:r>
            <w:r>
              <w:t xml:space="preserve">This </w:t>
            </w:r>
            <w:r w:rsidR="00EB45F7">
              <w:t xml:space="preserve">case study reveals how access to technology is supporting Indigenous communities in the Peruvian Amazon to </w:t>
            </w:r>
            <w:proofErr w:type="gramStart"/>
            <w:r w:rsidR="00EB45F7">
              <w:t>take action</w:t>
            </w:r>
            <w:proofErr w:type="gramEnd"/>
            <w:r w:rsidR="00EB45F7">
              <w:t xml:space="preserve"> on illegal logging and mining.</w:t>
            </w:r>
          </w:p>
        </w:tc>
      </w:tr>
      <w:tr w:rsidR="000C44AD" w:rsidRPr="008C066D" w14:paraId="32373C7D" w14:textId="77777777" w:rsidTr="107A562E">
        <w:trPr>
          <w:trHeight w:val="2542"/>
        </w:trPr>
        <w:tc>
          <w:tcPr>
            <w:tcW w:w="1701" w:type="dxa"/>
            <w:vMerge/>
          </w:tcPr>
          <w:p w14:paraId="7D04FB24" w14:textId="77777777" w:rsidR="000C44AD" w:rsidRPr="0007383B" w:rsidRDefault="000C44AD" w:rsidP="009008C7">
            <w:pPr>
              <w:rPr>
                <w:b/>
                <w:bCs/>
              </w:rPr>
            </w:pPr>
          </w:p>
        </w:tc>
        <w:tc>
          <w:tcPr>
            <w:tcW w:w="7797" w:type="dxa"/>
            <w:vAlign w:val="center"/>
          </w:tcPr>
          <w:p w14:paraId="3856C205" w14:textId="54FC3379" w:rsidR="000C44AD" w:rsidRDefault="00D24432" w:rsidP="00777A37">
            <w:pPr>
              <w:pStyle w:val="ListParagraph"/>
              <w:numPr>
                <w:ilvl w:val="0"/>
                <w:numId w:val="5"/>
              </w:numPr>
            </w:pPr>
            <w:r>
              <w:t xml:space="preserve">Identify the two main environmental crimes threatening the livelihoods of Indigenous people in the Madre de Dios region of the Peruvian </w:t>
            </w:r>
            <w:proofErr w:type="gramStart"/>
            <w:r>
              <w:t>Amazon</w:t>
            </w:r>
            <w:r w:rsidR="003E2669">
              <w:t>, and</w:t>
            </w:r>
            <w:proofErr w:type="gramEnd"/>
            <w:r w:rsidR="003E2669">
              <w:t xml:space="preserve"> explain why these are so prevalent in the region.</w:t>
            </w:r>
          </w:p>
          <w:p w14:paraId="44EC010B" w14:textId="77777777" w:rsidR="00D24432" w:rsidRDefault="009246F5" w:rsidP="00777A37">
            <w:pPr>
              <w:pStyle w:val="ListParagraph"/>
              <w:numPr>
                <w:ilvl w:val="0"/>
                <w:numId w:val="5"/>
              </w:numPr>
            </w:pPr>
            <w:r>
              <w:t>Discuss the main barriers that</w:t>
            </w:r>
            <w:r w:rsidR="00123405">
              <w:t xml:space="preserve"> prevent Indigenous communities from being able to </w:t>
            </w:r>
            <w:r w:rsidR="000E1FC3">
              <w:t>achieve justice for criminal activities that affect their homes and environment.</w:t>
            </w:r>
          </w:p>
          <w:p w14:paraId="08684C41" w14:textId="1C5D0579" w:rsidR="000E1FC3" w:rsidRDefault="00067E62" w:rsidP="00777A37">
            <w:pPr>
              <w:pStyle w:val="ListParagraph"/>
              <w:numPr>
                <w:ilvl w:val="0"/>
                <w:numId w:val="5"/>
              </w:numPr>
            </w:pPr>
            <w:r>
              <w:t xml:space="preserve">Analyse the ways in which the </w:t>
            </w:r>
            <w:proofErr w:type="spellStart"/>
            <w:r>
              <w:t>ForestLink</w:t>
            </w:r>
            <w:proofErr w:type="spellEnd"/>
            <w:r>
              <w:t xml:space="preserve"> project has supported Indigenous communities</w:t>
            </w:r>
            <w:r w:rsidR="005D23A2">
              <w:t xml:space="preserve"> in the region. How did the project seek to redress the barriers </w:t>
            </w:r>
            <w:r w:rsidR="00D92B72">
              <w:t xml:space="preserve">to accessing justice (identified </w:t>
            </w:r>
            <w:r w:rsidR="005D23A2">
              <w:t>in the second discussion point above)?</w:t>
            </w:r>
          </w:p>
          <w:p w14:paraId="75EA226A" w14:textId="1B017933" w:rsidR="005D23A2" w:rsidRPr="002D7DC0" w:rsidRDefault="005D23A2" w:rsidP="000C2DC5">
            <w:pPr>
              <w:pStyle w:val="ListParagraph"/>
              <w:ind w:left="360"/>
            </w:pPr>
          </w:p>
        </w:tc>
      </w:tr>
      <w:tr w:rsidR="000C44AD" w:rsidRPr="008C066D" w14:paraId="25BD17C8" w14:textId="77777777" w:rsidTr="107A562E">
        <w:trPr>
          <w:trHeight w:val="983"/>
        </w:trPr>
        <w:tc>
          <w:tcPr>
            <w:tcW w:w="1701" w:type="dxa"/>
            <w:vMerge w:val="restart"/>
            <w:shd w:val="clear" w:color="auto" w:fill="D9D9D9" w:themeFill="background1" w:themeFillShade="D9"/>
          </w:tcPr>
          <w:p w14:paraId="4513FA49" w14:textId="77777777" w:rsidR="000C44AD" w:rsidRDefault="00437CDB" w:rsidP="009008C7">
            <w:pPr>
              <w:rPr>
                <w:b/>
                <w:bCs/>
              </w:rPr>
            </w:pPr>
            <w:r>
              <w:rPr>
                <w:b/>
                <w:bCs/>
              </w:rPr>
              <w:t>Scientists to the rescue!</w:t>
            </w:r>
          </w:p>
          <w:p w14:paraId="7F100F2A" w14:textId="77777777" w:rsidR="00437CDB" w:rsidRDefault="00437CDB" w:rsidP="009008C7">
            <w:pPr>
              <w:rPr>
                <w:b/>
                <w:bCs/>
              </w:rPr>
            </w:pPr>
          </w:p>
          <w:p w14:paraId="05E007DE" w14:textId="77777777" w:rsidR="00437CDB" w:rsidRDefault="00437CDB" w:rsidP="009008C7">
            <w:pPr>
              <w:rPr>
                <w:b/>
                <w:bCs/>
              </w:rPr>
            </w:pPr>
            <w:r>
              <w:rPr>
                <w:b/>
                <w:bCs/>
              </w:rPr>
              <w:lastRenderedPageBreak/>
              <w:t>Alex McLaughlin</w:t>
            </w:r>
          </w:p>
          <w:p w14:paraId="0B9608C8" w14:textId="63A21C99" w:rsidR="00437CDB" w:rsidRPr="0007383B" w:rsidRDefault="00437CDB" w:rsidP="009008C7">
            <w:pPr>
              <w:rPr>
                <w:b/>
                <w:bCs/>
              </w:rPr>
            </w:pPr>
            <w:r>
              <w:rPr>
                <w:b/>
                <w:bCs/>
              </w:rPr>
              <w:t>(p. 36)</w:t>
            </w:r>
          </w:p>
        </w:tc>
        <w:tc>
          <w:tcPr>
            <w:tcW w:w="7797" w:type="dxa"/>
            <w:shd w:val="clear" w:color="auto" w:fill="E7E6E6" w:themeFill="background2"/>
            <w:vAlign w:val="center"/>
          </w:tcPr>
          <w:p w14:paraId="15DBA106" w14:textId="0A9B5900" w:rsidR="000C44AD" w:rsidRPr="00E46DBA" w:rsidRDefault="000C44AD" w:rsidP="009008C7">
            <w:pPr>
              <w:pStyle w:val="NoSpacing"/>
              <w:rPr>
                <w:highlight w:val="yellow"/>
              </w:rPr>
            </w:pPr>
            <w:r w:rsidRPr="00FC33BE">
              <w:rPr>
                <w:b/>
                <w:bCs/>
              </w:rPr>
              <w:lastRenderedPageBreak/>
              <w:t>Article overview:</w:t>
            </w:r>
            <w:r w:rsidRPr="00FC33BE">
              <w:t xml:space="preserve"> </w:t>
            </w:r>
            <w:r>
              <w:t xml:space="preserve">This article </w:t>
            </w:r>
            <w:r w:rsidR="00437CDB">
              <w:t>examines the role of scientists in civil disobedience</w:t>
            </w:r>
            <w:r w:rsidR="00D5757C">
              <w:t xml:space="preserve"> for climate and environmental justice.</w:t>
            </w:r>
          </w:p>
        </w:tc>
      </w:tr>
      <w:tr w:rsidR="000C44AD" w:rsidRPr="008C066D" w14:paraId="6E5C0308" w14:textId="77777777" w:rsidTr="107A562E">
        <w:trPr>
          <w:trHeight w:val="2560"/>
        </w:trPr>
        <w:tc>
          <w:tcPr>
            <w:tcW w:w="1701" w:type="dxa"/>
            <w:vMerge/>
          </w:tcPr>
          <w:p w14:paraId="62461AC3" w14:textId="77777777" w:rsidR="000C44AD" w:rsidRDefault="000C44AD" w:rsidP="009008C7">
            <w:pPr>
              <w:rPr>
                <w:b/>
                <w:bCs/>
              </w:rPr>
            </w:pPr>
          </w:p>
        </w:tc>
        <w:tc>
          <w:tcPr>
            <w:tcW w:w="7797" w:type="dxa"/>
            <w:vAlign w:val="center"/>
          </w:tcPr>
          <w:p w14:paraId="66F6D078" w14:textId="77777777" w:rsidR="009613C6" w:rsidRPr="00BD302E" w:rsidRDefault="00BA12DE" w:rsidP="0059434C">
            <w:pPr>
              <w:pStyle w:val="ListParagraph"/>
              <w:numPr>
                <w:ilvl w:val="0"/>
                <w:numId w:val="3"/>
              </w:numPr>
              <w:spacing w:after="160" w:line="259" w:lineRule="auto"/>
            </w:pPr>
            <w:r w:rsidRPr="00BD302E">
              <w:t xml:space="preserve">What advantages do scientists have in terms of </w:t>
            </w:r>
            <w:r w:rsidR="008D73B0" w:rsidRPr="00BD302E">
              <w:t>participating in civil disobedience and advocating for social change?</w:t>
            </w:r>
          </w:p>
          <w:p w14:paraId="286B4F9F" w14:textId="77777777" w:rsidR="008D73B0" w:rsidRPr="00BD302E" w:rsidRDefault="00C8730E" w:rsidP="0059434C">
            <w:pPr>
              <w:pStyle w:val="ListParagraph"/>
              <w:numPr>
                <w:ilvl w:val="0"/>
                <w:numId w:val="3"/>
              </w:numPr>
              <w:spacing w:after="160" w:line="259" w:lineRule="auto"/>
            </w:pPr>
            <w:r w:rsidRPr="00BD302E">
              <w:t xml:space="preserve">Discuss the different sides to the debate on whether scientists should participate in civil disobedience and </w:t>
            </w:r>
            <w:proofErr w:type="gramStart"/>
            <w:r w:rsidRPr="00BD302E">
              <w:t>protest, or</w:t>
            </w:r>
            <w:proofErr w:type="gramEnd"/>
            <w:r w:rsidRPr="00BD302E">
              <w:t xml:space="preserve"> remain politically “neutral”. Which points, if any, do you agree with, and why?</w:t>
            </w:r>
          </w:p>
          <w:p w14:paraId="593200F8" w14:textId="2FA8598C" w:rsidR="00C8730E" w:rsidRPr="00BD302E" w:rsidRDefault="00B2794E" w:rsidP="0059434C">
            <w:pPr>
              <w:pStyle w:val="ListParagraph"/>
              <w:numPr>
                <w:ilvl w:val="0"/>
                <w:numId w:val="3"/>
              </w:numPr>
              <w:spacing w:after="160" w:line="259" w:lineRule="auto"/>
            </w:pPr>
            <w:r w:rsidRPr="00BD302E">
              <w:t>How has environmental activism (climate protest and otherwise) been exclusive, rather than inclusive</w:t>
            </w:r>
            <w:r w:rsidR="00DB729F" w:rsidRPr="00BD302E">
              <w:t xml:space="preserve"> in supporting and empowering marginalised voices? How might this be rectified?</w:t>
            </w:r>
          </w:p>
        </w:tc>
      </w:tr>
    </w:tbl>
    <w:p w14:paraId="5AED3B0C" w14:textId="77777777" w:rsidR="000C44AD" w:rsidRPr="00876C46" w:rsidRDefault="000C44AD" w:rsidP="000C44AD"/>
    <w:p w14:paraId="59FF1FFD" w14:textId="77777777" w:rsidR="000C44AD" w:rsidRDefault="000C44AD" w:rsidP="000C44AD"/>
    <w:p w14:paraId="73E3D936" w14:textId="77777777" w:rsidR="00BF7C69" w:rsidRDefault="00BF7C69"/>
    <w:sectPr w:rsidR="00BF7C69" w:rsidSect="00760A2E">
      <w:headerReference w:type="default" r:id="rId12"/>
      <w:pgSz w:w="11906" w:h="16838"/>
      <w:pgMar w:top="1559" w:right="127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24298" w14:textId="77777777" w:rsidR="00760A2E" w:rsidRDefault="00760A2E">
      <w:pPr>
        <w:spacing w:after="0" w:line="240" w:lineRule="auto"/>
      </w:pPr>
      <w:r>
        <w:separator/>
      </w:r>
    </w:p>
  </w:endnote>
  <w:endnote w:type="continuationSeparator" w:id="0">
    <w:p w14:paraId="0C67BE8E" w14:textId="77777777" w:rsidR="00760A2E" w:rsidRDefault="00760A2E">
      <w:pPr>
        <w:spacing w:after="0" w:line="240" w:lineRule="auto"/>
      </w:pPr>
      <w:r>
        <w:continuationSeparator/>
      </w:r>
    </w:p>
  </w:endnote>
  <w:endnote w:type="continuationNotice" w:id="1">
    <w:p w14:paraId="1B68D1B3" w14:textId="77777777" w:rsidR="00760A2E" w:rsidRDefault="00760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D867C" w14:textId="77777777" w:rsidR="00760A2E" w:rsidRDefault="00760A2E">
      <w:pPr>
        <w:spacing w:after="0" w:line="240" w:lineRule="auto"/>
      </w:pPr>
      <w:r>
        <w:separator/>
      </w:r>
    </w:p>
  </w:footnote>
  <w:footnote w:type="continuationSeparator" w:id="0">
    <w:p w14:paraId="46549F91" w14:textId="77777777" w:rsidR="00760A2E" w:rsidRDefault="00760A2E">
      <w:pPr>
        <w:spacing w:after="0" w:line="240" w:lineRule="auto"/>
      </w:pPr>
      <w:r>
        <w:continuationSeparator/>
      </w:r>
    </w:p>
  </w:footnote>
  <w:footnote w:type="continuationNotice" w:id="1">
    <w:p w14:paraId="6B9053B8" w14:textId="77777777" w:rsidR="00760A2E" w:rsidRDefault="00760A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9ACC" w14:textId="77777777" w:rsidR="00DB729F" w:rsidRDefault="00DB729F">
    <w:pPr>
      <w:pStyle w:val="Header"/>
    </w:pPr>
    <w:r>
      <w:rPr>
        <w:noProof/>
        <w14:ligatures w14:val="standardContextual"/>
      </w:rPr>
      <w:drawing>
        <wp:anchor distT="0" distB="0" distL="114300" distR="114300" simplePos="0" relativeHeight="251658241" behindDoc="0" locked="0" layoutInCell="1" allowOverlap="1" wp14:anchorId="1743ABC0" wp14:editId="1A20A09F">
          <wp:simplePos x="0" y="0"/>
          <wp:positionH relativeFrom="margin">
            <wp:align>left</wp:align>
          </wp:positionH>
          <wp:positionV relativeFrom="paragraph">
            <wp:posOffset>-212090</wp:posOffset>
          </wp:positionV>
          <wp:extent cx="695325" cy="738505"/>
          <wp:effectExtent l="0" t="0" r="9525" b="4445"/>
          <wp:wrapSquare wrapText="bothSides"/>
          <wp:docPr id="1447868755" name="Picture 1447868755"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68755" name="Picture 1" descr="A logo with colorful cir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5325" cy="738505"/>
                  </a:xfrm>
                  <a:prstGeom prst="rect">
                    <a:avLst/>
                  </a:prstGeom>
                </pic:spPr>
              </pic:pic>
            </a:graphicData>
          </a:graphic>
        </wp:anchor>
      </w:drawing>
    </w:r>
    <w:r>
      <w:rPr>
        <w:noProof/>
      </w:rPr>
      <w:drawing>
        <wp:anchor distT="0" distB="0" distL="114300" distR="114300" simplePos="0" relativeHeight="251658240" behindDoc="0" locked="0" layoutInCell="1" allowOverlap="1" wp14:anchorId="70BEAC41" wp14:editId="5DE3382A">
          <wp:simplePos x="0" y="0"/>
          <wp:positionH relativeFrom="margin">
            <wp:align>right</wp:align>
          </wp:positionH>
          <wp:positionV relativeFrom="paragraph">
            <wp:posOffset>-240030</wp:posOffset>
          </wp:positionV>
          <wp:extent cx="548640" cy="70739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7073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7D1D"/>
    <w:multiLevelType w:val="hybridMultilevel"/>
    <w:tmpl w:val="F29A8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785979"/>
    <w:multiLevelType w:val="hybridMultilevel"/>
    <w:tmpl w:val="6686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1D7A62"/>
    <w:multiLevelType w:val="hybridMultilevel"/>
    <w:tmpl w:val="E95030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1E4EC4"/>
    <w:multiLevelType w:val="hybridMultilevel"/>
    <w:tmpl w:val="1B62E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867311F"/>
    <w:multiLevelType w:val="hybridMultilevel"/>
    <w:tmpl w:val="67267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1671476">
    <w:abstractNumId w:val="0"/>
  </w:num>
  <w:num w:numId="2" w16cid:durableId="1169835706">
    <w:abstractNumId w:val="2"/>
  </w:num>
  <w:num w:numId="3" w16cid:durableId="1373262442">
    <w:abstractNumId w:val="4"/>
  </w:num>
  <w:num w:numId="4" w16cid:durableId="1403216753">
    <w:abstractNumId w:val="1"/>
  </w:num>
  <w:num w:numId="5" w16cid:durableId="1147553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AD"/>
    <w:rsid w:val="00022274"/>
    <w:rsid w:val="00067E62"/>
    <w:rsid w:val="000C2DC5"/>
    <w:rsid w:val="000C44AD"/>
    <w:rsid w:val="000E1FC3"/>
    <w:rsid w:val="00117246"/>
    <w:rsid w:val="00123405"/>
    <w:rsid w:val="001A1C83"/>
    <w:rsid w:val="001B4497"/>
    <w:rsid w:val="002804E4"/>
    <w:rsid w:val="00326274"/>
    <w:rsid w:val="003E2669"/>
    <w:rsid w:val="004104B9"/>
    <w:rsid w:val="00437CDB"/>
    <w:rsid w:val="00483B79"/>
    <w:rsid w:val="004A22CA"/>
    <w:rsid w:val="0059434C"/>
    <w:rsid w:val="005D23A2"/>
    <w:rsid w:val="005D2CA0"/>
    <w:rsid w:val="00605A1C"/>
    <w:rsid w:val="00637FA7"/>
    <w:rsid w:val="00673D9E"/>
    <w:rsid w:val="006760FA"/>
    <w:rsid w:val="00676922"/>
    <w:rsid w:val="006840A8"/>
    <w:rsid w:val="006A67EA"/>
    <w:rsid w:val="006B58DE"/>
    <w:rsid w:val="006D2A94"/>
    <w:rsid w:val="006F432D"/>
    <w:rsid w:val="0075155A"/>
    <w:rsid w:val="00760A2E"/>
    <w:rsid w:val="00777A37"/>
    <w:rsid w:val="007F220B"/>
    <w:rsid w:val="00891E5B"/>
    <w:rsid w:val="00894B80"/>
    <w:rsid w:val="008D73B0"/>
    <w:rsid w:val="009246F5"/>
    <w:rsid w:val="00936C95"/>
    <w:rsid w:val="009613C6"/>
    <w:rsid w:val="00965FF2"/>
    <w:rsid w:val="00A01B92"/>
    <w:rsid w:val="00A8278F"/>
    <w:rsid w:val="00A92F97"/>
    <w:rsid w:val="00B2794E"/>
    <w:rsid w:val="00BA12DE"/>
    <w:rsid w:val="00BD302E"/>
    <w:rsid w:val="00BF7C69"/>
    <w:rsid w:val="00C03263"/>
    <w:rsid w:val="00C0518B"/>
    <w:rsid w:val="00C8730E"/>
    <w:rsid w:val="00D05755"/>
    <w:rsid w:val="00D24432"/>
    <w:rsid w:val="00D5757C"/>
    <w:rsid w:val="00D91110"/>
    <w:rsid w:val="00D92B72"/>
    <w:rsid w:val="00DA5EAB"/>
    <w:rsid w:val="00DA7ED3"/>
    <w:rsid w:val="00DB729F"/>
    <w:rsid w:val="00E74B11"/>
    <w:rsid w:val="00EB45F7"/>
    <w:rsid w:val="00EF4BBA"/>
    <w:rsid w:val="00F407AE"/>
    <w:rsid w:val="00F70826"/>
    <w:rsid w:val="107A562E"/>
    <w:rsid w:val="2DB1C8E0"/>
    <w:rsid w:val="374FF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7411"/>
  <w15:chartTrackingRefBased/>
  <w15:docId w15:val="{CA070EA1-B987-454E-9247-A705A097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4A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4AD"/>
    <w:pPr>
      <w:ind w:left="720"/>
      <w:contextualSpacing/>
    </w:pPr>
  </w:style>
  <w:style w:type="table" w:styleId="TableGrid">
    <w:name w:val="Table Grid"/>
    <w:basedOn w:val="TableNormal"/>
    <w:uiPriority w:val="39"/>
    <w:rsid w:val="000C44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44AD"/>
    <w:pPr>
      <w:spacing w:after="0" w:line="240" w:lineRule="auto"/>
    </w:pPr>
    <w:rPr>
      <w:kern w:val="0"/>
      <w14:ligatures w14:val="none"/>
    </w:rPr>
  </w:style>
  <w:style w:type="character" w:styleId="Hyperlink">
    <w:name w:val="Hyperlink"/>
    <w:basedOn w:val="DefaultParagraphFont"/>
    <w:uiPriority w:val="99"/>
    <w:unhideWhenUsed/>
    <w:rsid w:val="000C44AD"/>
    <w:rPr>
      <w:color w:val="0000FF"/>
      <w:u w:val="single"/>
    </w:rPr>
  </w:style>
  <w:style w:type="paragraph" w:styleId="Header">
    <w:name w:val="header"/>
    <w:basedOn w:val="Normal"/>
    <w:link w:val="HeaderChar"/>
    <w:uiPriority w:val="99"/>
    <w:unhideWhenUsed/>
    <w:rsid w:val="000C4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4AD"/>
    <w:rPr>
      <w:kern w:val="0"/>
      <w14:ligatures w14:val="none"/>
    </w:rPr>
  </w:style>
  <w:style w:type="character" w:styleId="UnresolvedMention">
    <w:name w:val="Unresolved Mention"/>
    <w:basedOn w:val="DefaultParagraphFont"/>
    <w:uiPriority w:val="99"/>
    <w:semiHidden/>
    <w:unhideWhenUsed/>
    <w:rsid w:val="000C44AD"/>
    <w:rPr>
      <w:color w:val="605E5C"/>
      <w:shd w:val="clear" w:color="auto" w:fill="E1DFDD"/>
    </w:rPr>
  </w:style>
  <w:style w:type="character" w:styleId="CommentReference">
    <w:name w:val="annotation reference"/>
    <w:basedOn w:val="DefaultParagraphFont"/>
    <w:uiPriority w:val="99"/>
    <w:semiHidden/>
    <w:unhideWhenUsed/>
    <w:rsid w:val="00E74B11"/>
    <w:rPr>
      <w:sz w:val="16"/>
      <w:szCs w:val="16"/>
    </w:rPr>
  </w:style>
  <w:style w:type="paragraph" w:styleId="CommentText">
    <w:name w:val="annotation text"/>
    <w:basedOn w:val="Normal"/>
    <w:link w:val="CommentTextChar"/>
    <w:uiPriority w:val="99"/>
    <w:unhideWhenUsed/>
    <w:rsid w:val="00E74B11"/>
    <w:pPr>
      <w:spacing w:line="240" w:lineRule="auto"/>
    </w:pPr>
    <w:rPr>
      <w:sz w:val="20"/>
      <w:szCs w:val="20"/>
    </w:rPr>
  </w:style>
  <w:style w:type="character" w:customStyle="1" w:styleId="CommentTextChar">
    <w:name w:val="Comment Text Char"/>
    <w:basedOn w:val="DefaultParagraphFont"/>
    <w:link w:val="CommentText"/>
    <w:uiPriority w:val="99"/>
    <w:rsid w:val="00E74B1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4B11"/>
    <w:rPr>
      <w:b/>
      <w:bCs/>
    </w:rPr>
  </w:style>
  <w:style w:type="character" w:customStyle="1" w:styleId="CommentSubjectChar">
    <w:name w:val="Comment Subject Char"/>
    <w:basedOn w:val="CommentTextChar"/>
    <w:link w:val="CommentSubject"/>
    <w:uiPriority w:val="99"/>
    <w:semiHidden/>
    <w:rsid w:val="00E74B11"/>
    <w:rPr>
      <w:b/>
      <w:bCs/>
      <w:kern w:val="0"/>
      <w:sz w:val="20"/>
      <w:szCs w:val="20"/>
      <w14:ligatures w14:val="none"/>
    </w:rPr>
  </w:style>
  <w:style w:type="paragraph" w:styleId="Footer">
    <w:name w:val="footer"/>
    <w:basedOn w:val="Normal"/>
    <w:link w:val="FooterChar"/>
    <w:uiPriority w:val="99"/>
    <w:semiHidden/>
    <w:unhideWhenUsed/>
    <w:rsid w:val="00F407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227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4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ies.org/resources/seeking-natural-justic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CBEE1702AD04E9E39FB20318EB1B8" ma:contentTypeVersion="17" ma:contentTypeDescription="Create a new document." ma:contentTypeScope="" ma:versionID="573abd409fdc8261ed9193f9e070a9ad">
  <xsd:schema xmlns:xsd="http://www.w3.org/2001/XMLSchema" xmlns:xs="http://www.w3.org/2001/XMLSchema" xmlns:p="http://schemas.microsoft.com/office/2006/metadata/properties" xmlns:ns2="af2531c7-eb33-48be-9889-ee787ffa7851" xmlns:ns3="36d7926d-c934-413c-9e6d-038f771d3aae" targetNamespace="http://schemas.microsoft.com/office/2006/metadata/properties" ma:root="true" ma:fieldsID="c787344c121b9a5671e7fc944bd4160e" ns2:_="" ns3:_="">
    <xsd:import namespace="af2531c7-eb33-48be-9889-ee787ffa7851"/>
    <xsd:import namespace="36d7926d-c934-413c-9e6d-038f771d3a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531c7-eb33-48be-9889-ee787ffa7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7926d-c934-413c-9e6d-038f771d3a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7845a0-c36c-4b7a-8df5-0d2d7e2599f0}" ma:internalName="TaxCatchAll" ma:showField="CatchAllData" ma:web="36d7926d-c934-413c-9e6d-038f771d3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531c7-eb33-48be-9889-ee787ffa7851">
      <Terms xmlns="http://schemas.microsoft.com/office/infopath/2007/PartnerControls"/>
    </lcf76f155ced4ddcb4097134ff3c332f>
    <TaxCatchAll xmlns="36d7926d-c934-413c-9e6d-038f771d3aae" xsi:nil="true"/>
  </documentManagement>
</p:properties>
</file>

<file path=customXml/itemProps1.xml><?xml version="1.0" encoding="utf-8"?>
<ds:datastoreItem xmlns:ds="http://schemas.openxmlformats.org/officeDocument/2006/customXml" ds:itemID="{062E9D35-AA23-4AA7-A0A9-3CB369C73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531c7-eb33-48be-9889-ee787ffa7851"/>
    <ds:schemaRef ds:uri="36d7926d-c934-413c-9e6d-038f771d3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61426-55AB-424E-9A17-6218A7CCAE8C}">
  <ds:schemaRefs>
    <ds:schemaRef ds:uri="http://schemas.microsoft.com/sharepoint/v3/contenttype/forms"/>
  </ds:schemaRefs>
</ds:datastoreItem>
</file>

<file path=customXml/itemProps3.xml><?xml version="1.0" encoding="utf-8"?>
<ds:datastoreItem xmlns:ds="http://schemas.openxmlformats.org/officeDocument/2006/customXml" ds:itemID="{E1C3CA73-0BEF-4936-BBB0-15351CF8629C}">
  <ds:schemaRefs>
    <ds:schemaRef ds:uri="http://schemas.microsoft.com/office/2006/metadata/properties"/>
    <ds:schemaRef ds:uri="http://schemas.microsoft.com/office/infopath/2007/PartnerControls"/>
    <ds:schemaRef ds:uri="af2531c7-eb33-48be-9889-ee787ffa7851"/>
    <ds:schemaRef ds:uri="36d7926d-c934-413c-9e6d-038f771d3a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Rowland</dc:creator>
  <cp:keywords/>
  <dc:description/>
  <cp:lastModifiedBy>Lucy Rowland</cp:lastModifiedBy>
  <cp:revision>5</cp:revision>
  <dcterms:created xsi:type="dcterms:W3CDTF">2024-01-15T10:33:00Z</dcterms:created>
  <dcterms:modified xsi:type="dcterms:W3CDTF">2024-01-18T12:40:00Z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0x010100D50CBEE1702AD04E9E39FB20318EB1B8</vt:lpwstr>
  </property>
  <property fmtid="{D5CDD505-2E9C-101B-9397-08002B2CF9AE}" pid="3" name="MediaServiceImageTags">
    <vt:lpwstr/>
  </property>
</Properties>
</file>