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6C91" w:rsidR="008B3287" w:rsidP="00A87424" w:rsidRDefault="00D33989" w14:paraId="1C08A6AA" w14:textId="4446C949">
      <w:pPr>
        <w:jc w:val="center"/>
        <w:rPr>
          <w:b/>
          <w:bCs/>
          <w:color w:val="B84809"/>
          <w:sz w:val="28"/>
          <w:szCs w:val="28"/>
        </w:rPr>
      </w:pPr>
      <w:r>
        <w:rPr>
          <w:b/>
          <w:bCs/>
          <w:i/>
          <w:iCs/>
          <w:color w:val="B84809"/>
          <w:sz w:val="28"/>
          <w:szCs w:val="28"/>
        </w:rPr>
        <w:softHyphen/>
      </w:r>
      <w:r>
        <w:rPr>
          <w:b/>
          <w:bCs/>
          <w:i/>
          <w:iCs/>
          <w:color w:val="B84809"/>
          <w:sz w:val="28"/>
          <w:szCs w:val="28"/>
        </w:rPr>
        <w:softHyphen/>
      </w:r>
      <w:r>
        <w:rPr>
          <w:b/>
          <w:bCs/>
          <w:i/>
          <w:iCs/>
          <w:color w:val="B84809"/>
          <w:sz w:val="28"/>
          <w:szCs w:val="28"/>
        </w:rPr>
        <w:softHyphen/>
      </w:r>
      <w:r w:rsidRPr="00B76C91" w:rsidR="00F66B52">
        <w:rPr>
          <w:b/>
          <w:bCs/>
          <w:i/>
          <w:iCs/>
          <w:color w:val="B84809"/>
          <w:sz w:val="28"/>
          <w:szCs w:val="28"/>
        </w:rPr>
        <w:t>e</w:t>
      </w:r>
      <w:r w:rsidRPr="00B76C91" w:rsidR="00A87424">
        <w:rPr>
          <w:b/>
          <w:bCs/>
          <w:i/>
          <w:iCs/>
          <w:color w:val="B84809"/>
          <w:sz w:val="28"/>
          <w:szCs w:val="28"/>
        </w:rPr>
        <w:t>nvironmental S</w:t>
      </w:r>
      <w:r w:rsidRPr="00B76C91" w:rsidR="00856BE0">
        <w:rPr>
          <w:b/>
          <w:bCs/>
          <w:i/>
          <w:iCs/>
          <w:color w:val="B84809"/>
          <w:sz w:val="28"/>
          <w:szCs w:val="28"/>
        </w:rPr>
        <w:t>CIENTIST</w:t>
      </w:r>
      <w:r w:rsidRPr="00B76C91" w:rsidR="00A87424">
        <w:rPr>
          <w:b/>
          <w:bCs/>
          <w:color w:val="B84809"/>
          <w:sz w:val="28"/>
          <w:szCs w:val="28"/>
        </w:rPr>
        <w:t xml:space="preserve"> journal: </w:t>
      </w:r>
      <w:r w:rsidRPr="00B76C91" w:rsidR="00E36036">
        <w:rPr>
          <w:b/>
          <w:bCs/>
          <w:color w:val="B84809"/>
          <w:sz w:val="28"/>
          <w:szCs w:val="28"/>
        </w:rPr>
        <w:t xml:space="preserve">learning resource </w:t>
      </w:r>
      <w:r w:rsidRPr="00B76C91" w:rsidR="00F66B52">
        <w:rPr>
          <w:b/>
          <w:bCs/>
          <w:color w:val="B84809"/>
          <w:sz w:val="28"/>
          <w:szCs w:val="28"/>
        </w:rPr>
        <w:t>notes</w:t>
      </w:r>
    </w:p>
    <w:p w:rsidR="00D33F67" w:rsidP="00D33F67" w:rsidRDefault="00707821" w14:paraId="066ECA77" w14:textId="592A1BA3">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rsidR="00D33F67" w:rsidP="00D33F67" w:rsidRDefault="00F83AEA" w14:paraId="2133A42D" w14:textId="44489F8A">
      <w:pPr>
        <w:pStyle w:val="NoSpacing"/>
        <w:jc w:val="both"/>
      </w:pPr>
      <w:r>
        <w:t xml:space="preserve"> </w:t>
      </w:r>
    </w:p>
    <w:p w:rsidR="00707821" w:rsidP="00D33F67" w:rsidRDefault="00707821" w14:paraId="7B0CD0BC" w14:textId="2454D47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rsidR="006137A1" w:rsidP="008A1149" w:rsidRDefault="006137A1" w14:paraId="4CF98B93" w14:textId="77777777">
      <w:pPr>
        <w:pStyle w:val="NoSpacing"/>
        <w:rPr>
          <w:b/>
          <w:bCs/>
        </w:rPr>
      </w:pPr>
    </w:p>
    <w:p w:rsidRPr="00D33F67" w:rsidR="008A1149" w:rsidP="008A1149" w:rsidRDefault="008A1149" w14:paraId="2762604C" w14:textId="6567B05F">
      <w:pPr>
        <w:pStyle w:val="NoSpacing"/>
        <w:rPr>
          <w:b/>
          <w:bCs/>
        </w:rPr>
      </w:pPr>
      <w:r w:rsidRPr="00D33F67">
        <w:rPr>
          <w:b/>
          <w:bCs/>
        </w:rPr>
        <w:t>Articles in focus</w:t>
      </w:r>
      <w:r>
        <w:rPr>
          <w:b/>
          <w:bCs/>
        </w:rPr>
        <w:t xml:space="preserve"> </w:t>
      </w:r>
    </w:p>
    <w:p w:rsidRPr="00D33F67" w:rsidR="008A1149" w:rsidP="008A1149" w:rsidRDefault="008A1149" w14:paraId="0414F930" w14:textId="4F2A4A55">
      <w:pPr>
        <w:pStyle w:val="NoSpacing"/>
        <w:jc w:val="both"/>
        <w:rPr>
          <w:color w:val="000000"/>
        </w:rPr>
      </w:pPr>
      <w:r>
        <w:t xml:space="preserve">The </w:t>
      </w:r>
      <w:r w:rsidR="002D1507">
        <w:t>below</w:t>
      </w:r>
      <w:r>
        <w:t xml:space="preserve">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rsidR="00A87424" w:rsidP="00A87424" w:rsidRDefault="00A87424" w14:paraId="63BB876A" w14:textId="0C1ED9DC">
      <w:pPr>
        <w:pStyle w:val="NoSpacing"/>
      </w:pPr>
    </w:p>
    <w:tbl>
      <w:tblPr>
        <w:tblStyle w:val="TableGrid"/>
        <w:tblW w:w="9498" w:type="dxa"/>
        <w:tblInd w:w="-5" w:type="dxa"/>
        <w:tblLook w:val="04A0" w:firstRow="1" w:lastRow="0" w:firstColumn="1" w:lastColumn="0" w:noHBand="0" w:noVBand="1"/>
      </w:tblPr>
      <w:tblGrid>
        <w:gridCol w:w="1696"/>
        <w:gridCol w:w="7802"/>
      </w:tblGrid>
      <w:tr w:rsidR="00751B40" w:rsidTr="00220C74" w14:paraId="148A3346" w14:textId="77777777">
        <w:trPr>
          <w:trHeight w:val="1375"/>
        </w:trPr>
        <w:tc>
          <w:tcPr>
            <w:tcW w:w="1696" w:type="dxa"/>
            <w:shd w:val="clear" w:color="auto" w:fill="D9D9D9" w:themeFill="background1" w:themeFillShade="D9"/>
            <w:vAlign w:val="center"/>
          </w:tcPr>
          <w:p w:rsidRPr="00751B40" w:rsidR="00751B40" w:rsidP="009B441F" w:rsidRDefault="00751B40" w14:paraId="5ED7C063" w14:textId="1C4C0E94">
            <w:r w:rsidRPr="00751B40">
              <w:t>Learning outcomes</w:t>
            </w:r>
          </w:p>
        </w:tc>
        <w:tc>
          <w:tcPr>
            <w:tcW w:w="7802" w:type="dxa"/>
            <w:vAlign w:val="center"/>
          </w:tcPr>
          <w:p w:rsidR="00751B40" w:rsidP="00EA6E71" w:rsidRDefault="00751B40" w14:paraId="4C7BB426" w14:textId="28B71D3E">
            <w:pPr>
              <w:pStyle w:val="ListParagraph"/>
              <w:numPr>
                <w:ilvl w:val="0"/>
                <w:numId w:val="2"/>
              </w:numPr>
            </w:pPr>
            <w:r>
              <w:t xml:space="preserve">Understand the main ideas discussed in the publication </w:t>
            </w:r>
          </w:p>
          <w:p w:rsidR="00751B40" w:rsidP="00DA05EB" w:rsidRDefault="00751B40" w14:paraId="345234AA" w14:textId="143C41E3">
            <w:pPr>
              <w:pStyle w:val="ListParagraph"/>
              <w:numPr>
                <w:ilvl w:val="0"/>
                <w:numId w:val="2"/>
              </w:numPr>
            </w:pPr>
            <w:r>
              <w:t xml:space="preserve">Describe the main conclusions and their relevance to the </w:t>
            </w:r>
            <w:r w:rsidR="00BA2C54">
              <w:t xml:space="preserve">environmental science </w:t>
            </w:r>
            <w:r w:rsidR="00332500">
              <w:t>sector</w:t>
            </w:r>
          </w:p>
          <w:p w:rsidRPr="00751B40" w:rsidR="005C7F1B" w:rsidP="00220C74" w:rsidRDefault="00751B40" w14:paraId="15FC8BC1" w14:textId="7A3C8215">
            <w:pPr>
              <w:pStyle w:val="ListParagraph"/>
              <w:numPr>
                <w:ilvl w:val="0"/>
                <w:numId w:val="2"/>
              </w:numPr>
            </w:pPr>
            <w:r>
              <w:t>Critically reflect on the main concepts discussed</w:t>
            </w:r>
          </w:p>
        </w:tc>
      </w:tr>
      <w:tr w:rsidR="00751B40" w:rsidTr="00220C74" w14:paraId="7D814482" w14:textId="77777777">
        <w:trPr>
          <w:trHeight w:val="3110"/>
        </w:trPr>
        <w:tc>
          <w:tcPr>
            <w:tcW w:w="1696" w:type="dxa"/>
            <w:shd w:val="clear" w:color="auto" w:fill="D9D9D9" w:themeFill="background1" w:themeFillShade="D9"/>
            <w:vAlign w:val="center"/>
          </w:tcPr>
          <w:p w:rsidRPr="00751B40" w:rsidR="00751B40" w:rsidP="009B441F" w:rsidRDefault="008B3287" w14:paraId="14DDB4D6" w14:textId="7D35C2DA">
            <w:r>
              <w:t>Format</w:t>
            </w:r>
          </w:p>
        </w:tc>
        <w:tc>
          <w:tcPr>
            <w:tcW w:w="7802" w:type="dxa"/>
            <w:vAlign w:val="center"/>
          </w:tcPr>
          <w:p w:rsidR="006137A1" w:rsidP="006137A1" w:rsidRDefault="006137A1" w14:paraId="29AC5482" w14:textId="2EC4F823">
            <w:pPr>
              <w:pStyle w:val="NoSpacing"/>
              <w:numPr>
                <w:ilvl w:val="0"/>
                <w:numId w:val="2"/>
              </w:numPr>
            </w:pPr>
            <w:r>
              <w:t xml:space="preserve">Articles of particular interest </w:t>
            </w:r>
            <w:r w:rsidR="00455FBF">
              <w:t xml:space="preserve">are </w:t>
            </w:r>
            <w:r>
              <w:t>to be selected and shared with the group to read ahead of the discussion. Suggestions of focus articles are attached here</w:t>
            </w:r>
          </w:p>
          <w:p w:rsidR="008A1149" w:rsidP="008A1149" w:rsidRDefault="008A1149" w14:paraId="35C5A3C2" w14:textId="2E3D3BD0">
            <w:pPr>
              <w:pStyle w:val="NoSpacing"/>
              <w:numPr>
                <w:ilvl w:val="0"/>
                <w:numId w:val="2"/>
              </w:numPr>
            </w:pPr>
            <w:r>
              <w:t>Small group discussions of articles that closely relate to programme content to supplement learning</w:t>
            </w:r>
          </w:p>
          <w:p w:rsidR="008A1149" w:rsidP="00D33F67" w:rsidRDefault="00226A9D" w14:paraId="09A2CECB" w14:textId="34F176BE">
            <w:pPr>
              <w:pStyle w:val="NoSpacing"/>
              <w:numPr>
                <w:ilvl w:val="0"/>
                <w:numId w:val="2"/>
              </w:numPr>
            </w:pPr>
            <w:r>
              <w:t>D</w:t>
            </w:r>
            <w:r w:rsidR="008A1149">
              <w:t>iscussions can be led by participants or the tutor, using the ‘articles in focus’ resource to prompt debate and aid the conversation</w:t>
            </w:r>
          </w:p>
          <w:p w:rsidR="00226A9D" w:rsidP="00D33F67" w:rsidRDefault="00095DF9" w14:paraId="03A3DEA3" w14:textId="358E21E5">
            <w:pPr>
              <w:pStyle w:val="NoSpacing"/>
              <w:numPr>
                <w:ilvl w:val="0"/>
                <w:numId w:val="2"/>
              </w:numPr>
            </w:pPr>
            <w:r w:rsidRPr="00095DF9">
              <w:t>The suggested discussion points</w:t>
            </w:r>
            <w:r w:rsidR="00226A9D">
              <w:t xml:space="preserve"> and </w:t>
            </w:r>
            <w:r w:rsidRPr="00095DF9">
              <w:t>questions provided in this pack for selected articles can be used as a starting point to guide the discussion</w:t>
            </w:r>
            <w:r w:rsidR="000E16BF">
              <w:t xml:space="preserve"> </w:t>
            </w:r>
          </w:p>
          <w:p w:rsidRPr="00D33F67" w:rsidR="005C7F1B" w:rsidP="00220C74" w:rsidRDefault="00226A9D" w14:paraId="186F3642" w14:textId="3637562D">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rsidRPr="00EA0741" w:rsidR="00C87267" w:rsidP="00111858" w:rsidRDefault="00C87267" w14:paraId="276F7F95" w14:textId="1E0DFCC8">
      <w:pPr>
        <w:rPr>
          <w:sz w:val="20"/>
          <w:szCs w:val="20"/>
        </w:rPr>
      </w:pPr>
    </w:p>
    <w:p w:rsidR="00B76C91" w:rsidP="00111858" w:rsidRDefault="00DF017D" w14:paraId="0565DA0A" w14:textId="19A73CB5">
      <w:pPr>
        <w:rPr>
          <w:b/>
          <w:bCs/>
        </w:rPr>
      </w:pPr>
      <w:r>
        <w:rPr>
          <w:noProof/>
        </w:rPr>
        <w:drawing>
          <wp:anchor distT="0" distB="0" distL="114300" distR="114300" simplePos="0" relativeHeight="251658240" behindDoc="1" locked="0" layoutInCell="1" allowOverlap="1" wp14:anchorId="1C9B78FC" wp14:editId="159729AF">
            <wp:simplePos x="0" y="0"/>
            <wp:positionH relativeFrom="margin">
              <wp:align>left</wp:align>
            </wp:positionH>
            <wp:positionV relativeFrom="paragraph">
              <wp:posOffset>38490</wp:posOffset>
            </wp:positionV>
            <wp:extent cx="1043940" cy="1506855"/>
            <wp:effectExtent l="0" t="0" r="3810" b="0"/>
            <wp:wrapTight wrapText="bothSides">
              <wp:wrapPolygon edited="0">
                <wp:start x="0" y="0"/>
                <wp:lineTo x="0" y="21300"/>
                <wp:lineTo x="21285" y="21300"/>
                <wp:lineTo x="21285"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C91" w:rsidR="00B76C91">
        <w:t>e</w:t>
      </w:r>
      <w:r w:rsidRPr="61B65E75" w:rsidR="00111858">
        <w:rPr>
          <w:i/>
          <w:iCs/>
        </w:rPr>
        <w:t>nvironmental S</w:t>
      </w:r>
      <w:r w:rsidRPr="61B65E75" w:rsidR="00B76C91">
        <w:rPr>
          <w:i/>
          <w:iCs/>
        </w:rPr>
        <w:t>CIENTIST</w:t>
      </w:r>
      <w:r w:rsidR="00B76C91">
        <w:rPr>
          <w:b/>
          <w:bCs/>
        </w:rPr>
        <w:br/>
      </w:r>
      <w:r w:rsidR="00933458">
        <w:rPr>
          <w:b/>
          <w:bCs/>
        </w:rPr>
        <w:t>Evolving together: 50 years of environmental science and the IES</w:t>
      </w:r>
      <w:r w:rsidR="00B76C91">
        <w:rPr>
          <w:b/>
          <w:bCs/>
        </w:rPr>
        <w:br/>
      </w:r>
      <w:r w:rsidRPr="00B76C91" w:rsidR="00B76C91">
        <w:t xml:space="preserve">Vol </w:t>
      </w:r>
      <w:r w:rsidR="002B3187">
        <w:t>3</w:t>
      </w:r>
      <w:r w:rsidR="00176665">
        <w:t>1</w:t>
      </w:r>
      <w:r w:rsidRPr="00B76C91" w:rsidR="00B76C91">
        <w:t xml:space="preserve">, Issue </w:t>
      </w:r>
      <w:r w:rsidR="00933458">
        <w:t>2</w:t>
      </w:r>
    </w:p>
    <w:p w:rsidR="00B76C91" w:rsidP="00D33F67" w:rsidRDefault="00000000" w14:paraId="22822B39" w14:textId="4560EEFF">
      <w:pPr>
        <w:pStyle w:val="NoSpacing"/>
        <w:rPr>
          <w:b/>
          <w:bCs/>
        </w:rPr>
      </w:pPr>
      <w:hyperlink w:history="1" r:id="rId12">
        <w:r w:rsidRPr="00F901B8" w:rsidR="00DF017D">
          <w:rPr>
            <w:rStyle w:val="Hyperlink"/>
          </w:rPr>
          <w:t>https://www.the-ies.org/resources/evolving-together-50-years</w:t>
        </w:r>
      </w:hyperlink>
      <w:r w:rsidR="00DF017D">
        <w:t xml:space="preserve"> </w:t>
      </w:r>
      <w:r w:rsidR="00D92EA5">
        <w:t xml:space="preserve"> </w:t>
      </w:r>
    </w:p>
    <w:p w:rsidR="00220C74" w:rsidP="00D33F67" w:rsidRDefault="00220C74" w14:paraId="42BB59B6" w14:textId="0138A433">
      <w:pPr>
        <w:pStyle w:val="NoSpacing"/>
        <w:rPr>
          <w:b/>
          <w:bCs/>
        </w:rPr>
      </w:pPr>
    </w:p>
    <w:p w:rsidR="00C87267" w:rsidP="00D33F67" w:rsidRDefault="00C87267" w14:paraId="74FFE568" w14:textId="623DCCAD">
      <w:pPr>
        <w:pStyle w:val="NoSpacing"/>
        <w:rPr>
          <w:b/>
          <w:bCs/>
        </w:rPr>
      </w:pPr>
    </w:p>
    <w:p w:rsidR="00C93350" w:rsidP="00D33F67" w:rsidRDefault="00C93350" w14:paraId="77E1F93D" w14:textId="77777777">
      <w:pPr>
        <w:pStyle w:val="NoSpacing"/>
        <w:rPr>
          <w:b/>
          <w:bCs/>
        </w:rPr>
      </w:pPr>
    </w:p>
    <w:p w:rsidR="00EA0741" w:rsidP="00D33F67" w:rsidRDefault="00EA0741" w14:paraId="45D3C6B2" w14:textId="4767B0D1">
      <w:pPr>
        <w:pStyle w:val="NoSpacing"/>
        <w:rPr>
          <w:b/>
          <w:bCs/>
          <w:sz w:val="30"/>
          <w:szCs w:val="30"/>
        </w:rPr>
      </w:pPr>
    </w:p>
    <w:p w:rsidR="00D92EA5" w:rsidP="00D33F67" w:rsidRDefault="00D92EA5" w14:paraId="69CC391E" w14:textId="77777777">
      <w:pPr>
        <w:pStyle w:val="NoSpacing"/>
        <w:rPr>
          <w:b/>
          <w:bCs/>
          <w:sz w:val="30"/>
          <w:szCs w:val="30"/>
        </w:rPr>
      </w:pPr>
    </w:p>
    <w:p w:rsidRPr="00EA0741" w:rsidR="00EA709D" w:rsidP="00D33F67" w:rsidRDefault="00EA709D" w14:paraId="5DA01934" w14:textId="77777777">
      <w:pPr>
        <w:pStyle w:val="NoSpacing"/>
        <w:rPr>
          <w:b/>
          <w:bCs/>
          <w:sz w:val="30"/>
          <w:szCs w:val="30"/>
        </w:rPr>
      </w:pPr>
    </w:p>
    <w:p w:rsidRPr="00EA0741" w:rsidR="00EA0741" w:rsidP="00D33F67" w:rsidRDefault="00EA0741" w14:paraId="44116413" w14:textId="77777777">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Pr="008C066D" w:rsidR="00111858" w:rsidTr="44AF54F6" w14:paraId="29A6278B" w14:textId="77777777">
        <w:trPr>
          <w:trHeight w:val="2162"/>
        </w:trPr>
        <w:tc>
          <w:tcPr>
            <w:tcW w:w="1701" w:type="dxa"/>
            <w:shd w:val="clear" w:color="auto" w:fill="D9D9D9" w:themeFill="background1" w:themeFillShade="D9"/>
            <w:tcMar/>
            <w:vAlign w:val="center"/>
          </w:tcPr>
          <w:p w:rsidRPr="00111858" w:rsidR="00111858" w:rsidP="00371733" w:rsidRDefault="00111858" w14:paraId="66A52193" w14:textId="73686353">
            <w:pPr>
              <w:rPr>
                <w:b/>
                <w:bCs/>
              </w:rPr>
            </w:pPr>
            <w:r w:rsidRPr="00111858">
              <w:rPr>
                <w:b/>
                <w:bCs/>
              </w:rPr>
              <w:lastRenderedPageBreak/>
              <w:t xml:space="preserve">Topic overview </w:t>
            </w:r>
          </w:p>
        </w:tc>
        <w:tc>
          <w:tcPr>
            <w:tcW w:w="7797" w:type="dxa"/>
            <w:tcMar/>
            <w:vAlign w:val="center"/>
          </w:tcPr>
          <w:p w:rsidRPr="00EA0741" w:rsidR="00C93350" w:rsidP="44AF54F6" w:rsidRDefault="00C93350" w14:paraId="49B7C24F" w14:textId="3B61AEA3">
            <w:pPr>
              <w:pStyle w:val="NoSpacing"/>
              <w:numPr>
                <w:ilvl w:val="0"/>
                <w:numId w:val="8"/>
              </w:numPr>
              <w:spacing w:before="60"/>
              <w:ind w:left="357" w:hanging="357"/>
              <w:rPr>
                <w:noProof w:val="0"/>
                <w:lang w:val="en-GB"/>
              </w:rPr>
            </w:pPr>
            <w:r w:rsidRPr="44AF54F6" w:rsidR="6AB27466">
              <w:rPr>
                <w:noProof w:val="0"/>
                <w:lang w:val="en-GB"/>
              </w:rPr>
              <w:t xml:space="preserve">1972 represents a watershed moment in human history, with recognition that our activities were not only impacting ecosystems but also feeding back directly into human wellbeing and future prospects. This pivotal year saw several key events that brought the environment into the public and political consciousness for the first </w:t>
            </w:r>
            <w:proofErr w:type="gramStart"/>
            <w:r w:rsidRPr="44AF54F6" w:rsidR="6AB27466">
              <w:rPr>
                <w:noProof w:val="0"/>
                <w:lang w:val="en-GB"/>
              </w:rPr>
              <w:t>time, and</w:t>
            </w:r>
            <w:proofErr w:type="gramEnd"/>
            <w:r w:rsidRPr="44AF54F6" w:rsidR="6AB27466">
              <w:rPr>
                <w:noProof w:val="0"/>
                <w:lang w:val="en-GB"/>
              </w:rPr>
              <w:t xml:space="preserve"> was also the founding year of the IES. Half a century on from the events of 1972, this issue of Environmental Scientist looks back at 50 years of environmental science and explores how both the environmental sector and the IES have evolved in this time, as well as looking ahead to the next 50 years.   </w:t>
            </w:r>
          </w:p>
        </w:tc>
      </w:tr>
      <w:tr w:rsidRPr="008C066D" w:rsidR="00111858" w:rsidTr="44AF54F6" w14:paraId="04339BDA" w14:textId="77777777">
        <w:trPr>
          <w:trHeight w:val="289"/>
        </w:trPr>
        <w:tc>
          <w:tcPr>
            <w:tcW w:w="9498" w:type="dxa"/>
            <w:gridSpan w:val="2"/>
            <w:shd w:val="clear" w:color="auto" w:fill="D9D9D9" w:themeFill="background1" w:themeFillShade="D9"/>
            <w:tcMar/>
          </w:tcPr>
          <w:p w:rsidRPr="00111858" w:rsidR="00111858" w:rsidP="00111858" w:rsidRDefault="00111858" w14:paraId="61B1FC94" w14:textId="0502C6AA">
            <w:pPr>
              <w:pStyle w:val="NoSpacing"/>
              <w:jc w:val="center"/>
              <w:rPr>
                <w:b/>
                <w:bCs/>
              </w:rPr>
            </w:pPr>
            <w:r w:rsidRPr="00111858">
              <w:rPr>
                <w:b/>
                <w:bCs/>
              </w:rPr>
              <w:t xml:space="preserve">Articles in </w:t>
            </w:r>
            <w:r w:rsidR="00856BE0">
              <w:rPr>
                <w:b/>
                <w:bCs/>
              </w:rPr>
              <w:t>f</w:t>
            </w:r>
            <w:r w:rsidRPr="00111858">
              <w:rPr>
                <w:b/>
                <w:bCs/>
              </w:rPr>
              <w:t>ocus</w:t>
            </w:r>
          </w:p>
        </w:tc>
      </w:tr>
      <w:tr w:rsidRPr="008C066D" w:rsidR="00C05BB6" w:rsidTr="44AF54F6" w14:paraId="3F49C2ED" w14:textId="77777777">
        <w:trPr>
          <w:trHeight w:val="965"/>
        </w:trPr>
        <w:tc>
          <w:tcPr>
            <w:tcW w:w="1701" w:type="dxa"/>
            <w:vMerge w:val="restart"/>
            <w:shd w:val="clear" w:color="auto" w:fill="D9D9D9" w:themeFill="background1" w:themeFillShade="D9"/>
            <w:tcMar/>
            <w:vAlign w:val="center"/>
          </w:tcPr>
          <w:p w:rsidR="002B3187" w:rsidP="00563081" w:rsidRDefault="000B5A17" w14:paraId="7A5A969D" w14:textId="005D675C">
            <w:pPr>
              <w:rPr>
                <w:b/>
                <w:bCs/>
              </w:rPr>
            </w:pPr>
            <w:r>
              <w:rPr>
                <w:b/>
                <w:bCs/>
              </w:rPr>
              <w:t>What does good look like?</w:t>
            </w:r>
          </w:p>
          <w:p w:rsidR="00563081" w:rsidP="00563081" w:rsidRDefault="00563081" w14:paraId="25127467" w14:textId="77777777">
            <w:pPr>
              <w:rPr>
                <w:b/>
                <w:bCs/>
              </w:rPr>
            </w:pPr>
          </w:p>
          <w:p w:rsidRPr="008C7366" w:rsidR="00C05BB6" w:rsidP="00C05BB6" w:rsidRDefault="000B5A17" w14:paraId="1FA7FD7C" w14:textId="43668709">
            <w:pPr>
              <w:rPr>
                <w:b/>
                <w:bCs/>
              </w:rPr>
            </w:pPr>
            <w:r>
              <w:rPr>
                <w:b/>
                <w:bCs/>
              </w:rPr>
              <w:t>Sara Parkin (p.10)</w:t>
            </w:r>
          </w:p>
        </w:tc>
        <w:tc>
          <w:tcPr>
            <w:tcW w:w="7797" w:type="dxa"/>
            <w:shd w:val="clear" w:color="auto" w:fill="E7E6E6" w:themeFill="background2"/>
            <w:tcMar/>
            <w:vAlign w:val="center"/>
          </w:tcPr>
          <w:p w:rsidRPr="00631919" w:rsidR="009573A8" w:rsidP="009573A8" w:rsidRDefault="002D07E1" w14:paraId="37E17A82" w14:textId="7E28440C">
            <w:pPr>
              <w:pStyle w:val="NoSpacing"/>
            </w:pPr>
            <w:r>
              <w:rPr>
                <w:b/>
                <w:bCs/>
              </w:rPr>
              <w:t>Article overview:</w:t>
            </w:r>
            <w:r w:rsidRPr="002D07E1" w:rsidR="00C05BB6">
              <w:t xml:space="preserve"> </w:t>
            </w:r>
            <w:r w:rsidR="00851176">
              <w:t>This article</w:t>
            </w:r>
            <w:r w:rsidR="005C5342">
              <w:t xml:space="preserve"> is an opinion piece examining </w:t>
            </w:r>
            <w:r w:rsidR="007F7A4A">
              <w:t>the environmental</w:t>
            </w:r>
            <w:r w:rsidR="005C5342">
              <w:t xml:space="preserve"> progress </w:t>
            </w:r>
            <w:r w:rsidR="007F7A4A">
              <w:t>of the last 50 years.</w:t>
            </w:r>
          </w:p>
          <w:p w:rsidRPr="00631919" w:rsidR="00631919" w:rsidP="00D545E7" w:rsidRDefault="00631919" w14:paraId="0AB43B0B" w14:textId="37EC50BE">
            <w:pPr>
              <w:pStyle w:val="NoSpacing"/>
            </w:pPr>
          </w:p>
        </w:tc>
      </w:tr>
      <w:tr w:rsidRPr="008C066D" w:rsidR="00C05BB6" w:rsidTr="44AF54F6" w14:paraId="6B4F9518" w14:textId="77777777">
        <w:trPr>
          <w:trHeight w:val="2539"/>
        </w:trPr>
        <w:tc>
          <w:tcPr>
            <w:tcW w:w="1701" w:type="dxa"/>
            <w:vMerge/>
            <w:tcMar/>
          </w:tcPr>
          <w:p w:rsidRPr="0007383B" w:rsidR="00C05BB6" w:rsidP="00C05BB6" w:rsidRDefault="00C05BB6" w14:paraId="5C8545E1" w14:textId="77777777">
            <w:pPr>
              <w:rPr>
                <w:b/>
                <w:bCs/>
              </w:rPr>
            </w:pPr>
          </w:p>
        </w:tc>
        <w:tc>
          <w:tcPr>
            <w:tcW w:w="7797" w:type="dxa"/>
            <w:tcMar/>
            <w:vAlign w:val="center"/>
          </w:tcPr>
          <w:p w:rsidR="00ED510B" w:rsidP="00217E23" w:rsidRDefault="0048507E" w14:paraId="0AEC94F7" w14:textId="27F279C4">
            <w:pPr>
              <w:pStyle w:val="NoSpacing"/>
              <w:numPr>
                <w:ilvl w:val="0"/>
                <w:numId w:val="8"/>
              </w:numPr>
              <w:spacing w:before="60"/>
            </w:pPr>
            <w:r>
              <w:t>Does ‘business as usual’ look different now to how it did in 1972?</w:t>
            </w:r>
          </w:p>
          <w:p w:rsidR="00DE62CB" w:rsidP="009D63CC" w:rsidRDefault="000C30FC" w14:paraId="53FE0F80" w14:textId="281DC6CD">
            <w:pPr>
              <w:pStyle w:val="NoSpacing"/>
              <w:numPr>
                <w:ilvl w:val="0"/>
                <w:numId w:val="8"/>
              </w:numPr>
              <w:spacing w:before="60"/>
              <w:ind w:left="357" w:hanging="357"/>
            </w:pPr>
            <w:r>
              <w:t xml:space="preserve">The article questions: </w:t>
            </w:r>
            <w:r>
              <w:t>‘Have we underestimated the opposition?’</w:t>
            </w:r>
            <w:r>
              <w:t xml:space="preserve">. </w:t>
            </w:r>
            <w:r w:rsidR="008429A7">
              <w:t xml:space="preserve">Who </w:t>
            </w:r>
            <w:r w:rsidRPr="00944044" w:rsidR="008429A7">
              <w:rPr>
                <w:b/>
                <w:bCs/>
              </w:rPr>
              <w:t>are</w:t>
            </w:r>
            <w:r w:rsidR="008429A7">
              <w:rPr>
                <w:i/>
                <w:iCs/>
              </w:rPr>
              <w:t xml:space="preserve"> </w:t>
            </w:r>
            <w:r w:rsidR="008429A7">
              <w:t>the opposition to progression of the ‘green dream’ and why?</w:t>
            </w:r>
          </w:p>
          <w:p w:rsidR="00F95824" w:rsidP="008429A7" w:rsidRDefault="006A70CA" w14:paraId="7FD6B7A1" w14:textId="6737C598">
            <w:pPr>
              <w:pStyle w:val="NoSpacing"/>
              <w:numPr>
                <w:ilvl w:val="0"/>
                <w:numId w:val="8"/>
              </w:numPr>
              <w:spacing w:before="60"/>
              <w:ind w:left="357" w:hanging="357"/>
            </w:pPr>
            <w:r>
              <w:t>On 14</w:t>
            </w:r>
            <w:r w:rsidRPr="006A70CA">
              <w:rPr>
                <w:vertAlign w:val="superscript"/>
              </w:rPr>
              <w:t>th</w:t>
            </w:r>
            <w:r>
              <w:t xml:space="preserve"> October 2022 it was reported that </w:t>
            </w:r>
            <w:r w:rsidR="00856B1B">
              <w:t xml:space="preserve">animal populations have experienced a decline of </w:t>
            </w:r>
            <w:r>
              <w:t>around 70%</w:t>
            </w:r>
            <w:r w:rsidR="00856B1B">
              <w:t xml:space="preserve"> since 1970 </w:t>
            </w:r>
            <w:r w:rsidRPr="00792F30" w:rsidR="00792F30">
              <w:t>–</w:t>
            </w:r>
            <w:r w:rsidRPr="00792F30" w:rsidR="00792F30">
              <w:t xml:space="preserve"> </w:t>
            </w:r>
            <w:r w:rsidR="00792F30">
              <w:t xml:space="preserve">roughly the same </w:t>
            </w:r>
            <w:r w:rsidR="00C3366A">
              <w:t>year</w:t>
            </w:r>
            <w:r w:rsidR="00792F30">
              <w:t xml:space="preserve"> </w:t>
            </w:r>
            <w:r w:rsidR="00C3366A">
              <w:t>(1972) that</w:t>
            </w:r>
            <w:r w:rsidR="00792F30">
              <w:t xml:space="preserve"> environmental sciences</w:t>
            </w:r>
            <w:r w:rsidR="002A4617">
              <w:t xml:space="preserve"> rose in</w:t>
            </w:r>
            <w:r w:rsidR="00EF1C20">
              <w:t>to</w:t>
            </w:r>
            <w:r w:rsidR="002A4617">
              <w:t xml:space="preserve"> public consciousness. </w:t>
            </w:r>
            <w:r w:rsidR="008F042E">
              <w:t>From Sara’s 3 suggestions</w:t>
            </w:r>
            <w:r w:rsidR="00BB37FD">
              <w:t xml:space="preserve"> of where the environmental movement has ‘got it wrong’</w:t>
            </w:r>
            <w:r w:rsidR="00C33714">
              <w:t xml:space="preserve"> (p.13)</w:t>
            </w:r>
            <w:r w:rsidR="00BB37FD">
              <w:t xml:space="preserve">, which </w:t>
            </w:r>
            <w:r w:rsidR="0072194B">
              <w:t>re</w:t>
            </w:r>
            <w:r w:rsidR="00E26E3E">
              <w:t>sonates</w:t>
            </w:r>
            <w:r w:rsidR="00BB37FD">
              <w:t xml:space="preserve"> most strongly </w:t>
            </w:r>
            <w:r w:rsidR="00E26E3E">
              <w:t>with</w:t>
            </w:r>
            <w:r w:rsidR="00BB37FD">
              <w:t xml:space="preserve"> this finding?</w:t>
            </w:r>
          </w:p>
        </w:tc>
      </w:tr>
      <w:tr w:rsidRPr="008C066D" w:rsidR="00C05BB6" w:rsidTr="44AF54F6" w14:paraId="4D1B21F3" w14:textId="77777777">
        <w:trPr>
          <w:trHeight w:val="987"/>
        </w:trPr>
        <w:tc>
          <w:tcPr>
            <w:tcW w:w="1701" w:type="dxa"/>
            <w:vMerge w:val="restart"/>
            <w:shd w:val="clear" w:color="auto" w:fill="D9D9D9" w:themeFill="background1" w:themeFillShade="D9"/>
            <w:tcMar/>
            <w:vAlign w:val="center"/>
          </w:tcPr>
          <w:p w:rsidR="00EA0741" w:rsidP="00680D7C" w:rsidRDefault="004F45BE" w14:paraId="0E4BD959" w14:textId="687FF77E">
            <w:pPr>
              <w:rPr>
                <w:b/>
                <w:bCs/>
              </w:rPr>
            </w:pPr>
            <w:r>
              <w:rPr>
                <w:b/>
                <w:bCs/>
              </w:rPr>
              <w:t>Best practice in mitigating shifting environmental problems</w:t>
            </w:r>
          </w:p>
          <w:p w:rsidR="00680D7C" w:rsidP="00680D7C" w:rsidRDefault="00680D7C" w14:paraId="354207AF" w14:textId="77777777">
            <w:pPr>
              <w:rPr>
                <w:b/>
                <w:bCs/>
              </w:rPr>
            </w:pPr>
          </w:p>
          <w:p w:rsidRPr="0007383B" w:rsidR="00C05BB6" w:rsidP="00680D7C" w:rsidRDefault="005B3EFD" w14:paraId="63EFB1F3" w14:textId="7120FB88">
            <w:pPr>
              <w:rPr>
                <w:b/>
                <w:bCs/>
              </w:rPr>
            </w:pPr>
            <w:r>
              <w:rPr>
                <w:b/>
                <w:bCs/>
              </w:rPr>
              <w:t>Craig Love</w:t>
            </w:r>
            <w:r w:rsidRPr="00680D7C" w:rsidR="00680D7C">
              <w:rPr>
                <w:b/>
                <w:bCs/>
              </w:rPr>
              <w:t xml:space="preserve"> </w:t>
            </w:r>
            <w:r w:rsidRPr="0007383B" w:rsidR="00D46787">
              <w:rPr>
                <w:b/>
                <w:bCs/>
              </w:rPr>
              <w:t>(p.</w:t>
            </w:r>
            <w:r>
              <w:rPr>
                <w:b/>
                <w:bCs/>
              </w:rPr>
              <w:t>35</w:t>
            </w:r>
            <w:r w:rsidRPr="0007383B" w:rsidR="00D46787">
              <w:rPr>
                <w:b/>
                <w:bCs/>
              </w:rPr>
              <w:t>)</w:t>
            </w:r>
          </w:p>
        </w:tc>
        <w:tc>
          <w:tcPr>
            <w:tcW w:w="7797" w:type="dxa"/>
            <w:shd w:val="clear" w:color="auto" w:fill="E7E6E6" w:themeFill="background2"/>
            <w:tcMar/>
            <w:vAlign w:val="center"/>
          </w:tcPr>
          <w:p w:rsidRPr="00D46787" w:rsidR="00C05BB6" w:rsidP="00045E8E" w:rsidRDefault="002D07E1" w14:paraId="7D8AB3A8" w14:textId="4A00B5CA">
            <w:pPr>
              <w:pStyle w:val="NoSpacing"/>
            </w:pPr>
            <w:r w:rsidRPr="00F83AEA">
              <w:rPr>
                <w:b/>
                <w:bCs/>
              </w:rPr>
              <w:t>Article overview:</w:t>
            </w:r>
            <w:r w:rsidRPr="00F83AEA">
              <w:t xml:space="preserve"> </w:t>
            </w:r>
            <w:r w:rsidR="00D46787">
              <w:t xml:space="preserve">This article </w:t>
            </w:r>
            <w:r w:rsidR="00045E8E">
              <w:t xml:space="preserve">considers </w:t>
            </w:r>
            <w:r w:rsidR="00061FE7">
              <w:t>how engineering and natural solutions</w:t>
            </w:r>
            <w:r w:rsidR="00DC7D72">
              <w:t xml:space="preserve"> can work together to combat climate change.</w:t>
            </w:r>
          </w:p>
        </w:tc>
      </w:tr>
      <w:tr w:rsidRPr="008C066D" w:rsidR="00C05BB6" w:rsidTr="44AF54F6" w14:paraId="447BE1EC" w14:textId="77777777">
        <w:trPr>
          <w:trHeight w:val="2542"/>
        </w:trPr>
        <w:tc>
          <w:tcPr>
            <w:tcW w:w="1701" w:type="dxa"/>
            <w:vMerge/>
            <w:tcMar/>
          </w:tcPr>
          <w:p w:rsidRPr="0007383B" w:rsidR="00C05BB6" w:rsidP="00C05BB6" w:rsidRDefault="00C05BB6" w14:paraId="13FCF6F3" w14:textId="77777777">
            <w:pPr>
              <w:rPr>
                <w:b/>
                <w:bCs/>
              </w:rPr>
            </w:pPr>
          </w:p>
        </w:tc>
        <w:tc>
          <w:tcPr>
            <w:tcW w:w="7797" w:type="dxa"/>
            <w:tcMar/>
            <w:vAlign w:val="center"/>
          </w:tcPr>
          <w:p w:rsidR="00207130" w:rsidP="00BC0952" w:rsidRDefault="00207130" w14:paraId="2B52894B" w14:textId="7B420257">
            <w:pPr>
              <w:pStyle w:val="NoSpacing"/>
              <w:spacing w:before="60"/>
            </w:pPr>
          </w:p>
          <w:p w:rsidR="009F0C56" w:rsidP="007D462C" w:rsidRDefault="00D34F8A" w14:paraId="6EF3B543" w14:textId="1C6DC2AE">
            <w:pPr>
              <w:pStyle w:val="NoSpacing"/>
              <w:numPr>
                <w:ilvl w:val="0"/>
                <w:numId w:val="8"/>
              </w:numPr>
              <w:spacing w:before="60"/>
            </w:pPr>
            <w:r>
              <w:t>Why might finding nature-based and engineering solutions become more important in the future</w:t>
            </w:r>
            <w:r w:rsidR="00CB349A">
              <w:t>?</w:t>
            </w:r>
          </w:p>
          <w:p w:rsidR="005B53F7" w:rsidP="005B53F7" w:rsidRDefault="00B04E5B" w14:paraId="6EAEABA1" w14:textId="71586808">
            <w:pPr>
              <w:pStyle w:val="NoSpacing"/>
              <w:numPr>
                <w:ilvl w:val="0"/>
                <w:numId w:val="8"/>
              </w:numPr>
              <w:spacing w:before="60"/>
            </w:pPr>
            <w:r>
              <w:t>When we think about nature-based solutions, many of us will</w:t>
            </w:r>
            <w:r w:rsidR="00EB6BF4">
              <w:t xml:space="preserve"> first consider tree planting. </w:t>
            </w:r>
            <w:r w:rsidR="00F05DD4">
              <w:t>Can you think o</w:t>
            </w:r>
            <w:r w:rsidR="00592917">
              <w:t xml:space="preserve">f </w:t>
            </w:r>
            <w:r w:rsidR="009C5C55">
              <w:t>h</w:t>
            </w:r>
            <w:r w:rsidR="000E16C4">
              <w:t xml:space="preserve">ow a nature-based </w:t>
            </w:r>
            <w:r w:rsidR="003E1506">
              <w:t>solution might be deployed in a marine</w:t>
            </w:r>
            <w:r w:rsidR="001962F5">
              <w:t xml:space="preserve"> or </w:t>
            </w:r>
            <w:r w:rsidR="003E1506">
              <w:t>freshwater</w:t>
            </w:r>
            <w:r w:rsidR="001962F5">
              <w:t xml:space="preserve"> </w:t>
            </w:r>
            <w:r w:rsidR="003E1506">
              <w:t>environment?</w:t>
            </w:r>
          </w:p>
          <w:p w:rsidRPr="002D7DC0" w:rsidR="00BC0952" w:rsidP="005B53F7" w:rsidRDefault="00BC0952" w14:paraId="6A9A820B" w14:textId="567B45EA">
            <w:pPr>
              <w:pStyle w:val="NoSpacing"/>
              <w:numPr>
                <w:ilvl w:val="0"/>
                <w:numId w:val="8"/>
              </w:numPr>
              <w:spacing w:before="60"/>
            </w:pPr>
            <w:r>
              <w:t xml:space="preserve">What is your view on carbon offsetting? Does it represent </w:t>
            </w:r>
            <w:r w:rsidR="005F0B35">
              <w:t>effective</w:t>
            </w:r>
            <w:r w:rsidR="00A053AB">
              <w:t xml:space="preserve"> climate action</w:t>
            </w:r>
            <w:r w:rsidR="005403B7">
              <w:t xml:space="preserve"> </w:t>
            </w:r>
            <w:r w:rsidR="009B6210">
              <w:t>as a standalone approach</w:t>
            </w:r>
            <w:r w:rsidR="00313A9D">
              <w:t>, and why?</w:t>
            </w:r>
          </w:p>
        </w:tc>
      </w:tr>
      <w:tr w:rsidRPr="008C066D" w:rsidR="004A799F" w:rsidTr="44AF54F6" w14:paraId="540F96B5" w14:textId="77777777">
        <w:trPr>
          <w:trHeight w:val="983"/>
        </w:trPr>
        <w:tc>
          <w:tcPr>
            <w:tcW w:w="1701" w:type="dxa"/>
            <w:vMerge w:val="restart"/>
            <w:shd w:val="clear" w:color="auto" w:fill="D9D9D9" w:themeFill="background1" w:themeFillShade="D9"/>
            <w:tcMar/>
          </w:tcPr>
          <w:p w:rsidR="0003348E" w:rsidP="002B69E6" w:rsidRDefault="0003348E" w14:paraId="05DE5CE6" w14:textId="77777777">
            <w:pPr>
              <w:rPr>
                <w:b/>
                <w:bCs/>
              </w:rPr>
            </w:pPr>
          </w:p>
          <w:p w:rsidR="009D63CC" w:rsidP="002B69E6" w:rsidRDefault="00F232D0" w14:paraId="2E990807" w14:textId="3E9E898B">
            <w:pPr>
              <w:rPr>
                <w:b/>
                <w:bCs/>
              </w:rPr>
            </w:pPr>
            <w:r>
              <w:rPr>
                <w:b/>
                <w:bCs/>
              </w:rPr>
              <w:t>Stockholm 50 years on: what role have non-governmental organisations played in the development of the environmental agenda?</w:t>
            </w:r>
          </w:p>
          <w:p w:rsidRPr="006978D9" w:rsidR="002B69E6" w:rsidP="002B69E6" w:rsidRDefault="002B69E6" w14:paraId="4428042D" w14:textId="77777777">
            <w:pPr>
              <w:rPr>
                <w:b/>
                <w:bCs/>
                <w:highlight w:val="yellow"/>
              </w:rPr>
            </w:pPr>
          </w:p>
          <w:p w:rsidRPr="0007383B" w:rsidR="004A799F" w:rsidP="00CF2873" w:rsidRDefault="00F232D0" w14:paraId="1534F4FE" w14:textId="13F4BC7A">
            <w:pPr>
              <w:rPr>
                <w:b/>
                <w:bCs/>
              </w:rPr>
            </w:pPr>
            <w:r>
              <w:rPr>
                <w:b/>
                <w:bCs/>
              </w:rPr>
              <w:t xml:space="preserve">Paul Johnston, David Santillo and </w:t>
            </w:r>
            <w:r w:rsidR="0003348E">
              <w:rPr>
                <w:b/>
                <w:bCs/>
              </w:rPr>
              <w:t>Simon Black (p.58)</w:t>
            </w:r>
          </w:p>
        </w:tc>
        <w:tc>
          <w:tcPr>
            <w:tcW w:w="7797" w:type="dxa"/>
            <w:shd w:val="clear" w:color="auto" w:fill="E7E6E6" w:themeFill="background2"/>
            <w:tcMar/>
            <w:vAlign w:val="center"/>
          </w:tcPr>
          <w:p w:rsidRPr="00E46DBA" w:rsidR="000A683A" w:rsidP="002B69E6" w:rsidRDefault="00105ECE" w14:paraId="2BA78114" w14:textId="505288CB">
            <w:pPr>
              <w:pStyle w:val="NoSpacing"/>
              <w:rPr>
                <w:highlight w:val="yellow"/>
              </w:rPr>
            </w:pPr>
            <w:r w:rsidRPr="00FC33BE">
              <w:rPr>
                <w:b/>
                <w:bCs/>
              </w:rPr>
              <w:t>Article overview:</w:t>
            </w:r>
            <w:r w:rsidRPr="00FC33BE">
              <w:t xml:space="preserve"> This </w:t>
            </w:r>
            <w:r w:rsidR="007F4C5D">
              <w:t>article looks at the impact of NGOs on decision-making</w:t>
            </w:r>
            <w:r w:rsidR="00B0004D">
              <w:t xml:space="preserve"> </w:t>
            </w:r>
            <w:r w:rsidR="00262FD9">
              <w:t>across environmental issues.</w:t>
            </w:r>
          </w:p>
        </w:tc>
      </w:tr>
      <w:tr w:rsidRPr="008C066D" w:rsidR="004A799F" w:rsidTr="44AF54F6" w14:paraId="16D2521A" w14:textId="77777777">
        <w:trPr>
          <w:trHeight w:val="2560"/>
        </w:trPr>
        <w:tc>
          <w:tcPr>
            <w:tcW w:w="1701" w:type="dxa"/>
            <w:vMerge/>
            <w:tcMar/>
          </w:tcPr>
          <w:p w:rsidR="004A799F" w:rsidP="00C05BB6" w:rsidRDefault="004A799F" w14:paraId="75C52026" w14:textId="77777777">
            <w:pPr>
              <w:rPr>
                <w:b/>
                <w:bCs/>
              </w:rPr>
            </w:pPr>
          </w:p>
        </w:tc>
        <w:tc>
          <w:tcPr>
            <w:tcW w:w="7797" w:type="dxa"/>
            <w:tcMar/>
            <w:vAlign w:val="center"/>
          </w:tcPr>
          <w:p w:rsidR="009527A5" w:rsidP="44AF54F6" w:rsidRDefault="00E851E6" w14:paraId="6C781270" w14:textId="6765ECFD">
            <w:pPr>
              <w:pStyle w:val="NoSpacing"/>
              <w:numPr>
                <w:ilvl w:val="0"/>
                <w:numId w:val="10"/>
              </w:numPr>
              <w:spacing w:before="60"/>
              <w:ind w:left="357" w:hanging="357"/>
              <w:rPr>
                <w:rFonts w:ascii="Calibri" w:hAnsi="Calibri" w:eastAsia="Calibri" w:cs="Calibri"/>
                <w:noProof w:val="0"/>
                <w:sz w:val="22"/>
                <w:szCs w:val="22"/>
                <w:lang w:val="en-GB"/>
              </w:rPr>
            </w:pPr>
            <w:r w:rsidR="4325DBCF">
              <w:rPr/>
              <w:t xml:space="preserve">The Stockholm Declaration </w:t>
            </w:r>
            <w:r w:rsidR="30F2A05B">
              <w:rPr/>
              <w:t xml:space="preserve">stated that ‘individuals in all walks of life </w:t>
            </w:r>
            <w:r w:rsidRPr="44AF54F6" w:rsidR="30F2A05B">
              <w:rPr>
                <w:rFonts w:ascii="Calibri" w:hAnsi="Calibri" w:eastAsia="Calibri" w:cs="Calibri"/>
                <w:noProof w:val="0"/>
                <w:sz w:val="22"/>
                <w:szCs w:val="22"/>
                <w:lang w:val="en-GB"/>
              </w:rPr>
              <w:t xml:space="preserve">as well as organizations in many fields, by their values and the sum of their actions, will shape the world environment of the future’. </w:t>
            </w:r>
            <w:r w:rsidRPr="44AF54F6" w:rsidR="03FC184E">
              <w:rPr>
                <w:rFonts w:ascii="Calibri" w:hAnsi="Calibri" w:eastAsia="Calibri" w:cs="Calibri"/>
                <w:noProof w:val="0"/>
                <w:sz w:val="22"/>
                <w:szCs w:val="22"/>
                <w:lang w:val="en-GB"/>
              </w:rPr>
              <w:t xml:space="preserve"> Do </w:t>
            </w:r>
            <w:r w:rsidRPr="44AF54F6" w:rsidR="03FC184E">
              <w:rPr>
                <w:rFonts w:ascii="Calibri" w:hAnsi="Calibri" w:eastAsia="Calibri" w:cs="Calibri"/>
                <w:noProof w:val="0"/>
                <w:sz w:val="22"/>
                <w:szCs w:val="22"/>
                <w:lang w:val="en-GB"/>
              </w:rPr>
              <w:t>you</w:t>
            </w:r>
            <w:r w:rsidRPr="44AF54F6" w:rsidR="03FC184E">
              <w:rPr>
                <w:rFonts w:ascii="Calibri" w:hAnsi="Calibri" w:eastAsia="Calibri" w:cs="Calibri"/>
                <w:noProof w:val="0"/>
                <w:sz w:val="22"/>
                <w:szCs w:val="22"/>
                <w:lang w:val="en-GB"/>
              </w:rPr>
              <w:t xml:space="preserve"> believe this is accurate?</w:t>
            </w:r>
          </w:p>
          <w:p w:rsidR="43EF7657" w:rsidP="44AF54F6" w:rsidRDefault="43EF7657" w14:paraId="09E192A0" w14:textId="649D26CD">
            <w:pPr>
              <w:pStyle w:val="NoSpacing"/>
              <w:numPr>
                <w:ilvl w:val="0"/>
                <w:numId w:val="10"/>
              </w:numPr>
              <w:spacing w:before="60"/>
              <w:ind w:left="357" w:hanging="357"/>
              <w:rPr>
                <w:rFonts w:ascii="Calibri" w:hAnsi="Calibri" w:eastAsia="Calibri" w:cs="Calibri"/>
                <w:noProof w:val="0"/>
                <w:sz w:val="22"/>
                <w:szCs w:val="22"/>
                <w:lang w:val="en-GB"/>
              </w:rPr>
            </w:pPr>
            <w:r w:rsidRPr="44AF54F6" w:rsidR="43EF7657">
              <w:rPr>
                <w:rFonts w:ascii="Calibri" w:hAnsi="Calibri" w:eastAsia="Calibri" w:cs="Calibri"/>
                <w:noProof w:val="0"/>
                <w:sz w:val="22"/>
                <w:szCs w:val="22"/>
                <w:lang w:val="en-GB"/>
              </w:rPr>
              <w:t>Who do environmental NGOs speak for? Are they at risk of being non-participatory?</w:t>
            </w:r>
          </w:p>
          <w:p w:rsidR="16F8EE4A" w:rsidP="44AF54F6" w:rsidRDefault="16F8EE4A" w14:paraId="2A5EFDEA" w14:textId="428A0600">
            <w:pPr>
              <w:pStyle w:val="NoSpacing"/>
              <w:numPr>
                <w:ilvl w:val="0"/>
                <w:numId w:val="10"/>
              </w:numPr>
              <w:spacing w:before="60"/>
              <w:ind w:left="357" w:hanging="357"/>
              <w:rPr>
                <w:rFonts w:ascii="Calibri" w:hAnsi="Calibri" w:eastAsia="Calibri" w:cs="Calibri"/>
                <w:noProof w:val="0"/>
                <w:sz w:val="22"/>
                <w:szCs w:val="22"/>
                <w:lang w:val="en-GB"/>
              </w:rPr>
            </w:pPr>
            <w:r w:rsidRPr="44AF54F6" w:rsidR="16F8EE4A">
              <w:rPr>
                <w:rFonts w:ascii="Calibri" w:hAnsi="Calibri" w:eastAsia="Calibri" w:cs="Calibri"/>
                <w:noProof w:val="0"/>
                <w:sz w:val="22"/>
                <w:szCs w:val="22"/>
                <w:lang w:val="en-GB"/>
              </w:rPr>
              <w:t>The article has a relatively strong focus on Greenpeace</w:t>
            </w:r>
            <w:r w:rsidRPr="44AF54F6" w:rsidR="789002CD">
              <w:rPr>
                <w:rFonts w:ascii="Calibri" w:hAnsi="Calibri" w:eastAsia="Calibri" w:cs="Calibri"/>
                <w:noProof w:val="0"/>
                <w:sz w:val="22"/>
                <w:szCs w:val="22"/>
                <w:lang w:val="en-GB"/>
              </w:rPr>
              <w:t xml:space="preserve">, which often undertakes ‘peaceful direct action’ </w:t>
            </w:r>
            <w:r w:rsidRPr="44AF54F6" w:rsidR="1ADD8BB3">
              <w:rPr>
                <w:rFonts w:ascii="Calibri" w:hAnsi="Calibri" w:eastAsia="Calibri" w:cs="Calibri"/>
                <w:noProof w:val="0"/>
                <w:sz w:val="22"/>
                <w:szCs w:val="22"/>
                <w:lang w:val="en-GB"/>
              </w:rPr>
              <w:t>such as blocking sewers</w:t>
            </w:r>
            <w:r w:rsidRPr="44AF54F6" w:rsidR="78E42206">
              <w:rPr>
                <w:rFonts w:ascii="Calibri" w:hAnsi="Calibri" w:eastAsia="Calibri" w:cs="Calibri"/>
                <w:noProof w:val="0"/>
                <w:sz w:val="22"/>
                <w:szCs w:val="22"/>
                <w:lang w:val="en-GB"/>
              </w:rPr>
              <w:t>,</w:t>
            </w:r>
            <w:r w:rsidRPr="44AF54F6" w:rsidR="0B0F80EF">
              <w:rPr>
                <w:rFonts w:ascii="Calibri" w:hAnsi="Calibri" w:eastAsia="Calibri" w:cs="Calibri"/>
                <w:noProof w:val="0"/>
                <w:sz w:val="22"/>
                <w:szCs w:val="22"/>
                <w:lang w:val="en-GB"/>
              </w:rPr>
              <w:t xml:space="preserve"> </w:t>
            </w:r>
            <w:hyperlink r:id="R1c593cd28f554394">
              <w:r w:rsidRPr="44AF54F6" w:rsidR="026FB6B2">
                <w:rPr>
                  <w:rStyle w:val="Hyperlink"/>
                  <w:rFonts w:ascii="Calibri" w:hAnsi="Calibri" w:eastAsia="Calibri" w:cs="Calibri"/>
                  <w:noProof w:val="0"/>
                  <w:sz w:val="22"/>
                  <w:szCs w:val="22"/>
                  <w:lang w:val="en-GB"/>
                </w:rPr>
                <w:t>occupying oil rigs</w:t>
              </w:r>
              <w:r w:rsidRPr="44AF54F6" w:rsidR="21CDCED7">
                <w:rPr>
                  <w:rStyle w:val="Hyperlink"/>
                  <w:rFonts w:ascii="Calibri" w:hAnsi="Calibri" w:eastAsia="Calibri" w:cs="Calibri"/>
                  <w:noProof w:val="0"/>
                  <w:sz w:val="22"/>
                  <w:szCs w:val="22"/>
                  <w:lang w:val="en-GB"/>
                </w:rPr>
                <w:t xml:space="preserve"> and more</w:t>
              </w:r>
              <w:r w:rsidRPr="44AF54F6" w:rsidR="21FD2142">
                <w:rPr>
                  <w:rStyle w:val="Hyperlink"/>
                  <w:rFonts w:ascii="Calibri" w:hAnsi="Calibri" w:eastAsia="Calibri" w:cs="Calibri"/>
                  <w:noProof w:val="0"/>
                  <w:sz w:val="22"/>
                  <w:szCs w:val="22"/>
                  <w:lang w:val="en-GB"/>
                </w:rPr>
                <w:t>.</w:t>
              </w:r>
            </w:hyperlink>
            <w:r w:rsidRPr="44AF54F6" w:rsidR="026FB6B2">
              <w:rPr>
                <w:rFonts w:ascii="Calibri" w:hAnsi="Calibri" w:eastAsia="Calibri" w:cs="Calibri"/>
                <w:noProof w:val="0"/>
                <w:sz w:val="22"/>
                <w:szCs w:val="22"/>
                <w:lang w:val="en-GB"/>
              </w:rPr>
              <w:t xml:space="preserve"> </w:t>
            </w:r>
            <w:r w:rsidRPr="44AF54F6" w:rsidR="4FB3E8D5">
              <w:rPr>
                <w:rFonts w:ascii="Calibri" w:hAnsi="Calibri" w:eastAsia="Calibri" w:cs="Calibri"/>
                <w:noProof w:val="0"/>
                <w:sz w:val="22"/>
                <w:szCs w:val="22"/>
                <w:lang w:val="en-GB"/>
              </w:rPr>
              <w:t>Do you think these more expensive actions are more effective than written or verbal output campaigning, and what effect might they have had, if any, over the past 50 years?</w:t>
            </w:r>
          </w:p>
          <w:p w:rsidRPr="00291616" w:rsidR="008A6D53" w:rsidP="44AF54F6" w:rsidRDefault="00ED3BF9" w14:paraId="266F4C64" w14:textId="2748E0FE">
            <w:pPr>
              <w:pStyle w:val="NoSpacing"/>
              <w:spacing w:before="60"/>
              <w:ind w:left="357" w:hanging="357"/>
            </w:pPr>
          </w:p>
        </w:tc>
      </w:tr>
    </w:tbl>
    <w:p w:rsidRPr="00876C46" w:rsidR="009343FF" w:rsidP="00C87267" w:rsidRDefault="009343FF" w14:paraId="7A58726C" w14:textId="77777777"/>
    <w:sectPr w:rsidRPr="00876C46" w:rsidR="009343FF" w:rsidSect="002B280F">
      <w:headerReference w:type="default" r:id="rId13"/>
      <w:pgSz w:w="11906" w:h="16838" w:orient="portrait"/>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A13" w:rsidP="0007383B" w:rsidRDefault="00875A13" w14:paraId="387DEC4C" w14:textId="77777777">
      <w:pPr>
        <w:spacing w:after="0" w:line="240" w:lineRule="auto"/>
      </w:pPr>
      <w:r>
        <w:separator/>
      </w:r>
    </w:p>
  </w:endnote>
  <w:endnote w:type="continuationSeparator" w:id="0">
    <w:p w:rsidR="00875A13" w:rsidP="0007383B" w:rsidRDefault="00875A13" w14:paraId="6EF28687" w14:textId="77777777">
      <w:pPr>
        <w:spacing w:after="0" w:line="240" w:lineRule="auto"/>
      </w:pPr>
      <w:r>
        <w:continuationSeparator/>
      </w:r>
    </w:p>
  </w:endnote>
  <w:endnote w:type="continuationNotice" w:id="1">
    <w:p w:rsidR="00875A13" w:rsidRDefault="00875A13" w14:paraId="08078A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A13" w:rsidP="0007383B" w:rsidRDefault="00875A13" w14:paraId="5168C924" w14:textId="77777777">
      <w:pPr>
        <w:spacing w:after="0" w:line="240" w:lineRule="auto"/>
      </w:pPr>
      <w:r>
        <w:separator/>
      </w:r>
    </w:p>
  </w:footnote>
  <w:footnote w:type="continuationSeparator" w:id="0">
    <w:p w:rsidR="00875A13" w:rsidP="0007383B" w:rsidRDefault="00875A13" w14:paraId="656FF760" w14:textId="77777777">
      <w:pPr>
        <w:spacing w:after="0" w:line="240" w:lineRule="auto"/>
      </w:pPr>
      <w:r>
        <w:continuationSeparator/>
      </w:r>
    </w:p>
  </w:footnote>
  <w:footnote w:type="continuationNotice" w:id="1">
    <w:p w:rsidR="00875A13" w:rsidRDefault="00875A13" w14:paraId="1AC524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383B" w:rsidRDefault="0007383B" w14:paraId="4A876E8F" w14:textId="4808B44B">
    <w:pPr>
      <w:pStyle w:val="Header"/>
    </w:pPr>
    <w:r>
      <w:rPr>
        <w:noProof/>
      </w:rPr>
      <w:drawing>
        <wp:anchor distT="0" distB="0" distL="114300" distR="114300" simplePos="0" relativeHeight="251658241"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41D7A62"/>
    <w:multiLevelType w:val="hybridMultilevel"/>
    <w:tmpl w:val="E95030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01739"/>
    <w:multiLevelType w:val="hybridMultilevel"/>
    <w:tmpl w:val="4ACCD4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95629C0"/>
    <w:multiLevelType w:val="hybridMultilevel"/>
    <w:tmpl w:val="DF7AC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67311F"/>
    <w:multiLevelType w:val="hybridMultilevel"/>
    <w:tmpl w:val="672675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9C10E02"/>
    <w:multiLevelType w:val="hybridMultilevel"/>
    <w:tmpl w:val="391096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74978745">
    <w:abstractNumId w:val="7"/>
  </w:num>
  <w:num w:numId="2" w16cid:durableId="1631671476">
    <w:abstractNumId w:val="2"/>
  </w:num>
  <w:num w:numId="3" w16cid:durableId="1728801055">
    <w:abstractNumId w:val="1"/>
  </w:num>
  <w:num w:numId="4" w16cid:durableId="1604460986">
    <w:abstractNumId w:val="3"/>
  </w:num>
  <w:num w:numId="5" w16cid:durableId="999233603">
    <w:abstractNumId w:val="0"/>
  </w:num>
  <w:num w:numId="6" w16cid:durableId="1487235162">
    <w:abstractNumId w:val="9"/>
  </w:num>
  <w:num w:numId="7" w16cid:durableId="1933858657">
    <w:abstractNumId w:val="5"/>
  </w:num>
  <w:num w:numId="8" w16cid:durableId="1169835706">
    <w:abstractNumId w:val="4"/>
  </w:num>
  <w:num w:numId="9" w16cid:durableId="1531258758">
    <w:abstractNumId w:val="6"/>
  </w:num>
  <w:num w:numId="10" w16cid:durableId="1373262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4E43"/>
    <w:rsid w:val="000070F9"/>
    <w:rsid w:val="00010145"/>
    <w:rsid w:val="00010471"/>
    <w:rsid w:val="000157F3"/>
    <w:rsid w:val="00021304"/>
    <w:rsid w:val="0003348E"/>
    <w:rsid w:val="00034255"/>
    <w:rsid w:val="00035DC4"/>
    <w:rsid w:val="00045E8E"/>
    <w:rsid w:val="00061FE7"/>
    <w:rsid w:val="000627B8"/>
    <w:rsid w:val="00070810"/>
    <w:rsid w:val="0007383B"/>
    <w:rsid w:val="000907C4"/>
    <w:rsid w:val="00094358"/>
    <w:rsid w:val="00095DF9"/>
    <w:rsid w:val="000A683A"/>
    <w:rsid w:val="000B1F49"/>
    <w:rsid w:val="000B20F0"/>
    <w:rsid w:val="000B5A17"/>
    <w:rsid w:val="000C30FC"/>
    <w:rsid w:val="000C75EF"/>
    <w:rsid w:val="000E16BF"/>
    <w:rsid w:val="000E16C4"/>
    <w:rsid w:val="000E1AC7"/>
    <w:rsid w:val="000E2C10"/>
    <w:rsid w:val="000E3FA7"/>
    <w:rsid w:val="00105ECE"/>
    <w:rsid w:val="00110E2B"/>
    <w:rsid w:val="0011119D"/>
    <w:rsid w:val="00111858"/>
    <w:rsid w:val="00127333"/>
    <w:rsid w:val="00150643"/>
    <w:rsid w:val="001547D6"/>
    <w:rsid w:val="00176665"/>
    <w:rsid w:val="00177D70"/>
    <w:rsid w:val="001962F5"/>
    <w:rsid w:val="001A3243"/>
    <w:rsid w:val="001B097D"/>
    <w:rsid w:val="001B7C08"/>
    <w:rsid w:val="001F49F3"/>
    <w:rsid w:val="00207130"/>
    <w:rsid w:val="00210818"/>
    <w:rsid w:val="00214DA1"/>
    <w:rsid w:val="00215755"/>
    <w:rsid w:val="00217E23"/>
    <w:rsid w:val="00220C74"/>
    <w:rsid w:val="00226A9D"/>
    <w:rsid w:val="002401EF"/>
    <w:rsid w:val="00241318"/>
    <w:rsid w:val="002461E6"/>
    <w:rsid w:val="002555D9"/>
    <w:rsid w:val="00256F03"/>
    <w:rsid w:val="00262FD9"/>
    <w:rsid w:val="00267CD8"/>
    <w:rsid w:val="00270174"/>
    <w:rsid w:val="00276704"/>
    <w:rsid w:val="00291616"/>
    <w:rsid w:val="00295A7F"/>
    <w:rsid w:val="002A2F95"/>
    <w:rsid w:val="002A3499"/>
    <w:rsid w:val="002A4617"/>
    <w:rsid w:val="002B280F"/>
    <w:rsid w:val="002B3187"/>
    <w:rsid w:val="002B69E6"/>
    <w:rsid w:val="002D07E1"/>
    <w:rsid w:val="002D1507"/>
    <w:rsid w:val="002D7DC0"/>
    <w:rsid w:val="002F0B82"/>
    <w:rsid w:val="003121A1"/>
    <w:rsid w:val="00312C33"/>
    <w:rsid w:val="00313A9D"/>
    <w:rsid w:val="00323EC3"/>
    <w:rsid w:val="00332500"/>
    <w:rsid w:val="00351A33"/>
    <w:rsid w:val="00356670"/>
    <w:rsid w:val="00360E79"/>
    <w:rsid w:val="0037054B"/>
    <w:rsid w:val="00371733"/>
    <w:rsid w:val="00371BB8"/>
    <w:rsid w:val="00375F91"/>
    <w:rsid w:val="00376189"/>
    <w:rsid w:val="003778FF"/>
    <w:rsid w:val="00382B29"/>
    <w:rsid w:val="00396AA1"/>
    <w:rsid w:val="003C629C"/>
    <w:rsid w:val="003C70CD"/>
    <w:rsid w:val="003E0ACA"/>
    <w:rsid w:val="003E1506"/>
    <w:rsid w:val="003E3C9F"/>
    <w:rsid w:val="003F30BB"/>
    <w:rsid w:val="00403136"/>
    <w:rsid w:val="00406606"/>
    <w:rsid w:val="00407640"/>
    <w:rsid w:val="00410ACE"/>
    <w:rsid w:val="00426957"/>
    <w:rsid w:val="00436029"/>
    <w:rsid w:val="00436A03"/>
    <w:rsid w:val="00455FBF"/>
    <w:rsid w:val="0046108E"/>
    <w:rsid w:val="00461462"/>
    <w:rsid w:val="00473CC5"/>
    <w:rsid w:val="00482258"/>
    <w:rsid w:val="0048507E"/>
    <w:rsid w:val="004A46E1"/>
    <w:rsid w:val="004A799F"/>
    <w:rsid w:val="004B0DF7"/>
    <w:rsid w:val="004B15E8"/>
    <w:rsid w:val="004C0AA0"/>
    <w:rsid w:val="004D0C90"/>
    <w:rsid w:val="004D6E85"/>
    <w:rsid w:val="004D7701"/>
    <w:rsid w:val="004F043B"/>
    <w:rsid w:val="004F2272"/>
    <w:rsid w:val="004F2988"/>
    <w:rsid w:val="004F3C96"/>
    <w:rsid w:val="004F45BE"/>
    <w:rsid w:val="00503DE4"/>
    <w:rsid w:val="00520419"/>
    <w:rsid w:val="0052184C"/>
    <w:rsid w:val="00522B35"/>
    <w:rsid w:val="00530290"/>
    <w:rsid w:val="005403B7"/>
    <w:rsid w:val="00545665"/>
    <w:rsid w:val="005501DA"/>
    <w:rsid w:val="00560E47"/>
    <w:rsid w:val="00563081"/>
    <w:rsid w:val="00591115"/>
    <w:rsid w:val="00592917"/>
    <w:rsid w:val="0059527F"/>
    <w:rsid w:val="005B0959"/>
    <w:rsid w:val="005B138F"/>
    <w:rsid w:val="005B3EFD"/>
    <w:rsid w:val="005B4C03"/>
    <w:rsid w:val="005B53F7"/>
    <w:rsid w:val="005C5342"/>
    <w:rsid w:val="005C784F"/>
    <w:rsid w:val="005C7F1B"/>
    <w:rsid w:val="005F0B35"/>
    <w:rsid w:val="005F1EE5"/>
    <w:rsid w:val="00610109"/>
    <w:rsid w:val="0061191B"/>
    <w:rsid w:val="006137A1"/>
    <w:rsid w:val="00631919"/>
    <w:rsid w:val="006603AC"/>
    <w:rsid w:val="00660B7A"/>
    <w:rsid w:val="006728D9"/>
    <w:rsid w:val="00680D7C"/>
    <w:rsid w:val="0069102C"/>
    <w:rsid w:val="006978D9"/>
    <w:rsid w:val="006A5137"/>
    <w:rsid w:val="006A70CA"/>
    <w:rsid w:val="006E5598"/>
    <w:rsid w:val="006E61FD"/>
    <w:rsid w:val="00707821"/>
    <w:rsid w:val="00717C16"/>
    <w:rsid w:val="0072194B"/>
    <w:rsid w:val="00721AAC"/>
    <w:rsid w:val="00721BF8"/>
    <w:rsid w:val="0072763E"/>
    <w:rsid w:val="00751B40"/>
    <w:rsid w:val="007602CE"/>
    <w:rsid w:val="00771C8A"/>
    <w:rsid w:val="00780948"/>
    <w:rsid w:val="00792F30"/>
    <w:rsid w:val="007D462C"/>
    <w:rsid w:val="007D646F"/>
    <w:rsid w:val="007E4A82"/>
    <w:rsid w:val="007F4C5D"/>
    <w:rsid w:val="007F7A4A"/>
    <w:rsid w:val="00806DA5"/>
    <w:rsid w:val="008102E5"/>
    <w:rsid w:val="00814AA6"/>
    <w:rsid w:val="00814F19"/>
    <w:rsid w:val="00815F6A"/>
    <w:rsid w:val="0081619E"/>
    <w:rsid w:val="00822BEE"/>
    <w:rsid w:val="00834991"/>
    <w:rsid w:val="008429A7"/>
    <w:rsid w:val="00843951"/>
    <w:rsid w:val="00851176"/>
    <w:rsid w:val="00856B1B"/>
    <w:rsid w:val="00856BE0"/>
    <w:rsid w:val="00862B50"/>
    <w:rsid w:val="00875A13"/>
    <w:rsid w:val="00876C46"/>
    <w:rsid w:val="00885A0F"/>
    <w:rsid w:val="008A1149"/>
    <w:rsid w:val="008A2D09"/>
    <w:rsid w:val="008A6D53"/>
    <w:rsid w:val="008B3287"/>
    <w:rsid w:val="008C066D"/>
    <w:rsid w:val="008C24FD"/>
    <w:rsid w:val="008C26C9"/>
    <w:rsid w:val="008C7366"/>
    <w:rsid w:val="008D0AC1"/>
    <w:rsid w:val="008D64CB"/>
    <w:rsid w:val="008E3FFD"/>
    <w:rsid w:val="008F042E"/>
    <w:rsid w:val="008F5C50"/>
    <w:rsid w:val="0092324B"/>
    <w:rsid w:val="0092393C"/>
    <w:rsid w:val="00933458"/>
    <w:rsid w:val="009343FF"/>
    <w:rsid w:val="009437A0"/>
    <w:rsid w:val="00944044"/>
    <w:rsid w:val="009527A5"/>
    <w:rsid w:val="009573A8"/>
    <w:rsid w:val="00971B85"/>
    <w:rsid w:val="00975B6B"/>
    <w:rsid w:val="009A2C09"/>
    <w:rsid w:val="009A4CF8"/>
    <w:rsid w:val="009B441F"/>
    <w:rsid w:val="009B55A0"/>
    <w:rsid w:val="009B6210"/>
    <w:rsid w:val="009C3427"/>
    <w:rsid w:val="009C5C55"/>
    <w:rsid w:val="009C60FA"/>
    <w:rsid w:val="009D63CC"/>
    <w:rsid w:val="009F0C56"/>
    <w:rsid w:val="00A053AB"/>
    <w:rsid w:val="00A058DF"/>
    <w:rsid w:val="00A126B3"/>
    <w:rsid w:val="00A466A4"/>
    <w:rsid w:val="00A87424"/>
    <w:rsid w:val="00AC6883"/>
    <w:rsid w:val="00AD43F1"/>
    <w:rsid w:val="00B0004D"/>
    <w:rsid w:val="00B01867"/>
    <w:rsid w:val="00B04E5B"/>
    <w:rsid w:val="00B0561C"/>
    <w:rsid w:val="00B47825"/>
    <w:rsid w:val="00B566CE"/>
    <w:rsid w:val="00B6004F"/>
    <w:rsid w:val="00B64371"/>
    <w:rsid w:val="00B64A44"/>
    <w:rsid w:val="00B76C91"/>
    <w:rsid w:val="00B84019"/>
    <w:rsid w:val="00B96B5D"/>
    <w:rsid w:val="00BA12C3"/>
    <w:rsid w:val="00BA2C54"/>
    <w:rsid w:val="00BB37FD"/>
    <w:rsid w:val="00BB3C54"/>
    <w:rsid w:val="00BB531C"/>
    <w:rsid w:val="00BC0952"/>
    <w:rsid w:val="00BC0D77"/>
    <w:rsid w:val="00BD4B3E"/>
    <w:rsid w:val="00BF270B"/>
    <w:rsid w:val="00C05BB6"/>
    <w:rsid w:val="00C124B1"/>
    <w:rsid w:val="00C23912"/>
    <w:rsid w:val="00C3015F"/>
    <w:rsid w:val="00C3366A"/>
    <w:rsid w:val="00C33714"/>
    <w:rsid w:val="00C37708"/>
    <w:rsid w:val="00C446E5"/>
    <w:rsid w:val="00C606D5"/>
    <w:rsid w:val="00C61771"/>
    <w:rsid w:val="00C65D2C"/>
    <w:rsid w:val="00C7407B"/>
    <w:rsid w:val="00C82F2E"/>
    <w:rsid w:val="00C87267"/>
    <w:rsid w:val="00C92A30"/>
    <w:rsid w:val="00C93350"/>
    <w:rsid w:val="00CB349A"/>
    <w:rsid w:val="00CC19F4"/>
    <w:rsid w:val="00CE0576"/>
    <w:rsid w:val="00CF2873"/>
    <w:rsid w:val="00CF73B1"/>
    <w:rsid w:val="00D31D5D"/>
    <w:rsid w:val="00D33989"/>
    <w:rsid w:val="00D33F67"/>
    <w:rsid w:val="00D34F8A"/>
    <w:rsid w:val="00D37240"/>
    <w:rsid w:val="00D417DF"/>
    <w:rsid w:val="00D46787"/>
    <w:rsid w:val="00D545E7"/>
    <w:rsid w:val="00D60544"/>
    <w:rsid w:val="00D675E0"/>
    <w:rsid w:val="00D7410E"/>
    <w:rsid w:val="00D92EA5"/>
    <w:rsid w:val="00DA05EB"/>
    <w:rsid w:val="00DA2D05"/>
    <w:rsid w:val="00DA3C2C"/>
    <w:rsid w:val="00DB525C"/>
    <w:rsid w:val="00DC106D"/>
    <w:rsid w:val="00DC7D72"/>
    <w:rsid w:val="00DD63B6"/>
    <w:rsid w:val="00DE2419"/>
    <w:rsid w:val="00DE62CB"/>
    <w:rsid w:val="00DF017D"/>
    <w:rsid w:val="00DF10E2"/>
    <w:rsid w:val="00E07295"/>
    <w:rsid w:val="00E07684"/>
    <w:rsid w:val="00E158AC"/>
    <w:rsid w:val="00E16144"/>
    <w:rsid w:val="00E26E3E"/>
    <w:rsid w:val="00E313EE"/>
    <w:rsid w:val="00E36036"/>
    <w:rsid w:val="00E44571"/>
    <w:rsid w:val="00E45426"/>
    <w:rsid w:val="00E46DBA"/>
    <w:rsid w:val="00E63883"/>
    <w:rsid w:val="00E851E6"/>
    <w:rsid w:val="00E95781"/>
    <w:rsid w:val="00E960C8"/>
    <w:rsid w:val="00EA0741"/>
    <w:rsid w:val="00EA1540"/>
    <w:rsid w:val="00EA3837"/>
    <w:rsid w:val="00EA6E71"/>
    <w:rsid w:val="00EA709D"/>
    <w:rsid w:val="00EB6BF4"/>
    <w:rsid w:val="00ED075F"/>
    <w:rsid w:val="00ED0BCE"/>
    <w:rsid w:val="00ED3BF9"/>
    <w:rsid w:val="00ED510B"/>
    <w:rsid w:val="00EF1C20"/>
    <w:rsid w:val="00EF3C12"/>
    <w:rsid w:val="00EF7643"/>
    <w:rsid w:val="00F05DD4"/>
    <w:rsid w:val="00F07728"/>
    <w:rsid w:val="00F14EE4"/>
    <w:rsid w:val="00F20900"/>
    <w:rsid w:val="00F232D0"/>
    <w:rsid w:val="00F44CB5"/>
    <w:rsid w:val="00F6175C"/>
    <w:rsid w:val="00F65BC3"/>
    <w:rsid w:val="00F66B52"/>
    <w:rsid w:val="00F7285B"/>
    <w:rsid w:val="00F73FC4"/>
    <w:rsid w:val="00F83AEA"/>
    <w:rsid w:val="00F92951"/>
    <w:rsid w:val="00F95824"/>
    <w:rsid w:val="00FC33BE"/>
    <w:rsid w:val="01136E48"/>
    <w:rsid w:val="026FB6B2"/>
    <w:rsid w:val="03ADBB46"/>
    <w:rsid w:val="03FC184E"/>
    <w:rsid w:val="052CCCDD"/>
    <w:rsid w:val="061B002A"/>
    <w:rsid w:val="0B0F80EF"/>
    <w:rsid w:val="0C54CAC1"/>
    <w:rsid w:val="16F8EE4A"/>
    <w:rsid w:val="17036D58"/>
    <w:rsid w:val="1ADD8BB3"/>
    <w:rsid w:val="21CDCED7"/>
    <w:rsid w:val="21FD2142"/>
    <w:rsid w:val="30F2A05B"/>
    <w:rsid w:val="4325DBCF"/>
    <w:rsid w:val="43EF7657"/>
    <w:rsid w:val="44AF54F6"/>
    <w:rsid w:val="4B932539"/>
    <w:rsid w:val="4E4E871F"/>
    <w:rsid w:val="4FB3E8D5"/>
    <w:rsid w:val="51995BF1"/>
    <w:rsid w:val="55D56CD9"/>
    <w:rsid w:val="5BE12868"/>
    <w:rsid w:val="61B65E75"/>
    <w:rsid w:val="62F3251D"/>
    <w:rsid w:val="653831DC"/>
    <w:rsid w:val="68F95BD5"/>
    <w:rsid w:val="6AB27466"/>
    <w:rsid w:val="753F8347"/>
    <w:rsid w:val="789002CD"/>
    <w:rsid w:val="78E42206"/>
    <w:rsid w:val="7D98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6AE3"/>
  <w15:chartTrackingRefBased/>
  <w15:docId w15:val="{EC016E7F-0F7B-44E9-A0C1-7C7427A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styleId="CommentTextChar" w:customStyle="1">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styleId="CommentSubjectChar" w:customStyle="1">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he-ies.org/resources/evolving-together-50-year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greenpeace.org.uk/news/six-greenpeace-non-violent-direct-actions/" TargetMode="External" Id="R1c593cd28f55439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5" ma:contentTypeDescription="Create a new document." ma:contentTypeScope="" ma:versionID="62b179f098f0ed23419424da4da3210c">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a593140c0354ed8843a40f680c3ae553"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customXml/itemProps2.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3.xml><?xml version="1.0" encoding="utf-8"?>
<ds:datastoreItem xmlns:ds="http://schemas.openxmlformats.org/officeDocument/2006/customXml" ds:itemID="{9186D484-F065-4942-8C19-323D842025D5}">
  <ds:schemaRefs>
    <ds:schemaRef ds:uri="http://schemas.openxmlformats.org/officeDocument/2006/bibliography"/>
  </ds:schemaRefs>
</ds:datastoreItem>
</file>

<file path=customXml/itemProps4.xml><?xml version="1.0" encoding="utf-8"?>
<ds:datastoreItem xmlns:ds="http://schemas.openxmlformats.org/officeDocument/2006/customXml" ds:itemID="{98F446C4-EC73-4958-BADE-0FDCC37C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Kopecky</dc:creator>
  <keywords/>
  <dc:description/>
  <lastModifiedBy>Bea Gilbert</lastModifiedBy>
  <revision>116</revision>
  <dcterms:created xsi:type="dcterms:W3CDTF">2022-10-13T20:57:00.0000000Z</dcterms:created>
  <dcterms:modified xsi:type="dcterms:W3CDTF">2022-10-17T10:40:34.6270920Z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