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A6AA" w14:textId="73AAD2BA" w:rsidR="008B3287" w:rsidRPr="00B76C91" w:rsidRDefault="00F66B52" w:rsidP="00A87424">
      <w:pPr>
        <w:jc w:val="center"/>
        <w:rPr>
          <w:b/>
          <w:bCs/>
          <w:color w:val="B84809"/>
          <w:sz w:val="28"/>
          <w:szCs w:val="28"/>
        </w:rPr>
      </w:pPr>
      <w:r w:rsidRPr="00B76C91">
        <w:rPr>
          <w:b/>
          <w:bCs/>
          <w:i/>
          <w:iCs/>
          <w:color w:val="B84809"/>
          <w:sz w:val="28"/>
          <w:szCs w:val="28"/>
        </w:rPr>
        <w:t>e</w:t>
      </w:r>
      <w:r w:rsidR="00A87424" w:rsidRPr="00B76C91">
        <w:rPr>
          <w:b/>
          <w:bCs/>
          <w:i/>
          <w:iCs/>
          <w:color w:val="B84809"/>
          <w:sz w:val="28"/>
          <w:szCs w:val="28"/>
        </w:rPr>
        <w:t>nvironmental S</w:t>
      </w:r>
      <w:r w:rsidR="00856BE0" w:rsidRPr="00B76C91">
        <w:rPr>
          <w:b/>
          <w:bCs/>
          <w:i/>
          <w:iCs/>
          <w:color w:val="B84809"/>
          <w:sz w:val="28"/>
          <w:szCs w:val="28"/>
        </w:rPr>
        <w:t>CIENTIST</w:t>
      </w:r>
      <w:r w:rsidR="00A87424" w:rsidRPr="00B76C91">
        <w:rPr>
          <w:b/>
          <w:bCs/>
          <w:color w:val="B84809"/>
          <w:sz w:val="28"/>
          <w:szCs w:val="28"/>
        </w:rPr>
        <w:t xml:space="preserve"> journal: </w:t>
      </w:r>
      <w:r w:rsidR="00E36036" w:rsidRPr="00B76C91">
        <w:rPr>
          <w:b/>
          <w:bCs/>
          <w:color w:val="B84809"/>
          <w:sz w:val="28"/>
          <w:szCs w:val="28"/>
        </w:rPr>
        <w:t xml:space="preserve">learning resource </w:t>
      </w:r>
      <w:r w:rsidRPr="00B76C91">
        <w:rPr>
          <w:b/>
          <w:bCs/>
          <w:color w:val="B84809"/>
          <w:sz w:val="28"/>
          <w:szCs w:val="28"/>
        </w:rPr>
        <w:t>notes</w:t>
      </w:r>
    </w:p>
    <w:p w14:paraId="066ECA77" w14:textId="592A1BA3" w:rsidR="00D33F67" w:rsidRDefault="00707821" w:rsidP="00D33F67">
      <w:pPr>
        <w:pStyle w:val="NoSpacing"/>
        <w:jc w:val="both"/>
      </w:pPr>
      <w:r w:rsidRPr="00707821">
        <w:t xml:space="preserve">The purpose of </w:t>
      </w:r>
      <w:r>
        <w:t>th</w:t>
      </w:r>
      <w:r w:rsidR="00856BE0">
        <w:t>ese</w:t>
      </w:r>
      <w:r>
        <w:t xml:space="preserve"> educational resource</w:t>
      </w:r>
      <w:r w:rsidRPr="00707821">
        <w:t xml:space="preserve"> </w:t>
      </w:r>
      <w:r w:rsidR="00D33F67">
        <w:t>notes</w:t>
      </w:r>
      <w:r w:rsidR="00A87424">
        <w:t xml:space="preserve"> </w:t>
      </w:r>
      <w:r w:rsidRPr="00707821">
        <w:t>is to provide a format for informal, seminar-style discussions of the topics explored</w:t>
      </w:r>
      <w:r>
        <w:t xml:space="preserve"> in the </w:t>
      </w:r>
      <w:r w:rsidR="00D33F67">
        <w:t xml:space="preserve">latest </w:t>
      </w:r>
      <w:r w:rsidR="004B0DF7">
        <w:t xml:space="preserve">edition of the </w:t>
      </w:r>
      <w:r>
        <w:t>journal</w:t>
      </w:r>
      <w:r w:rsidR="00D33F67">
        <w:t xml:space="preserve"> of the Institution of Environmental Sciences</w:t>
      </w:r>
      <w:r>
        <w:t xml:space="preserve">. </w:t>
      </w:r>
    </w:p>
    <w:p w14:paraId="2133A42D" w14:textId="44489F8A" w:rsidR="00D33F67" w:rsidRDefault="00F83AEA" w:rsidP="00D33F67">
      <w:pPr>
        <w:pStyle w:val="NoSpacing"/>
        <w:jc w:val="both"/>
      </w:pPr>
      <w:r>
        <w:t xml:space="preserve"> </w:t>
      </w:r>
    </w:p>
    <w:p w14:paraId="7B0CD0BC" w14:textId="2454D477" w:rsidR="00707821" w:rsidRDefault="00707821" w:rsidP="00D33F67">
      <w:pPr>
        <w:pStyle w:val="NoSpacing"/>
        <w:jc w:val="both"/>
      </w:pPr>
      <w:r>
        <w:t>T</w:t>
      </w:r>
      <w:r w:rsidRPr="00707821">
        <w:t>hrough discussion of the ideas and issues presented</w:t>
      </w:r>
      <w:r w:rsidR="00D33F67">
        <w:t xml:space="preserve"> within the journal</w:t>
      </w:r>
      <w:r w:rsidRPr="00707821">
        <w:t xml:space="preserve">, </w:t>
      </w:r>
      <w:r w:rsidR="00856BE0">
        <w:t>they</w:t>
      </w:r>
      <w:r>
        <w:t xml:space="preserve"> </w:t>
      </w:r>
      <w:r w:rsidRPr="00707821">
        <w:t xml:space="preserve">aim to supplement and enhance students’ knowledge and understanding </w:t>
      </w:r>
      <w:r>
        <w:t>of</w:t>
      </w:r>
      <w:r w:rsidRPr="00707821">
        <w:t xml:space="preserve"> a broad range of environmental science issues</w:t>
      </w:r>
      <w:r>
        <w:t xml:space="preserve"> </w:t>
      </w:r>
      <w:r w:rsidR="00D33F67">
        <w:t xml:space="preserve">and </w:t>
      </w:r>
      <w:r w:rsidR="00856BE0">
        <w:t>provide</w:t>
      </w:r>
      <w:r w:rsidR="00D33F67">
        <w:t xml:space="preserve"> insights into the professional concerns of practising environmental scientists.</w:t>
      </w:r>
    </w:p>
    <w:p w14:paraId="4CF98B93" w14:textId="77777777" w:rsidR="006137A1" w:rsidRDefault="006137A1" w:rsidP="008A1149">
      <w:pPr>
        <w:pStyle w:val="NoSpacing"/>
        <w:rPr>
          <w:b/>
          <w:bCs/>
        </w:rPr>
      </w:pPr>
    </w:p>
    <w:p w14:paraId="2762604C" w14:textId="6567B05F" w:rsidR="008A1149" w:rsidRPr="00D33F67" w:rsidRDefault="008A1149" w:rsidP="008A1149">
      <w:pPr>
        <w:pStyle w:val="NoSpacing"/>
        <w:rPr>
          <w:b/>
          <w:bCs/>
        </w:rPr>
      </w:pPr>
      <w:r w:rsidRPr="00D33F67">
        <w:rPr>
          <w:b/>
          <w:bCs/>
        </w:rPr>
        <w:t>Articles in focus</w:t>
      </w:r>
      <w:r>
        <w:rPr>
          <w:b/>
          <w:bCs/>
        </w:rPr>
        <w:t xml:space="preserve"> </w:t>
      </w:r>
    </w:p>
    <w:p w14:paraId="0414F930" w14:textId="4F2A4A55" w:rsidR="008A1149" w:rsidRPr="00D33F67" w:rsidRDefault="008A1149" w:rsidP="008A1149">
      <w:pPr>
        <w:pStyle w:val="NoSpacing"/>
        <w:jc w:val="both"/>
        <w:rPr>
          <w:color w:val="000000"/>
        </w:rPr>
      </w:pPr>
      <w:r>
        <w:t xml:space="preserve">The </w:t>
      </w:r>
      <w:r w:rsidR="002D1507">
        <w:t>below</w:t>
      </w:r>
      <w:r>
        <w:t xml:space="preserve"> articles have been selected as particularly relevant for in-depth discussion, allowing for wider debate of the key elements of the article topic. S</w:t>
      </w:r>
      <w:r w:rsidRPr="00876C46">
        <w:rPr>
          <w:rFonts w:ascii="Calibri" w:hAnsi="Calibri"/>
          <w:color w:val="000000"/>
        </w:rPr>
        <w:t xml:space="preserve">ome </w:t>
      </w:r>
      <w:r>
        <w:t>specific</w:t>
      </w:r>
      <w:r w:rsidRPr="00876C46">
        <w:rPr>
          <w:rFonts w:ascii="Calibri" w:hAnsi="Calibri"/>
          <w:color w:val="000000"/>
        </w:rPr>
        <w:t xml:space="preserve"> questions you may </w:t>
      </w:r>
      <w:r>
        <w:t>wish</w:t>
      </w:r>
      <w:r w:rsidRPr="00876C46">
        <w:rPr>
          <w:rFonts w:ascii="Calibri" w:hAnsi="Calibri"/>
          <w:color w:val="000000"/>
        </w:rPr>
        <w:t xml:space="preserve"> to consider when reading and discussing </w:t>
      </w:r>
      <w:r>
        <w:t xml:space="preserve">these </w:t>
      </w:r>
      <w:r w:rsidRPr="00876C46">
        <w:rPr>
          <w:rFonts w:ascii="Calibri" w:hAnsi="Calibri"/>
          <w:color w:val="000000"/>
        </w:rPr>
        <w:t>articles </w:t>
      </w:r>
      <w:r>
        <w:t>are outlined.</w:t>
      </w:r>
      <w:r w:rsidRPr="00876C46">
        <w:rPr>
          <w:color w:val="000000"/>
        </w:rPr>
        <w:t xml:space="preserve"> </w:t>
      </w:r>
    </w:p>
    <w:p w14:paraId="63BB876A" w14:textId="384FE011" w:rsidR="00A87424" w:rsidRDefault="00A87424" w:rsidP="00A87424">
      <w:pPr>
        <w:pStyle w:val="NoSpacing"/>
      </w:pPr>
    </w:p>
    <w:tbl>
      <w:tblPr>
        <w:tblStyle w:val="TableGrid"/>
        <w:tblW w:w="9498" w:type="dxa"/>
        <w:tblInd w:w="-5" w:type="dxa"/>
        <w:tblLook w:val="04A0" w:firstRow="1" w:lastRow="0" w:firstColumn="1" w:lastColumn="0" w:noHBand="0" w:noVBand="1"/>
      </w:tblPr>
      <w:tblGrid>
        <w:gridCol w:w="1696"/>
        <w:gridCol w:w="7802"/>
      </w:tblGrid>
      <w:tr w:rsidR="00751B40" w14:paraId="148A3346" w14:textId="77777777" w:rsidTr="00220C74">
        <w:trPr>
          <w:trHeight w:val="1375"/>
        </w:trPr>
        <w:tc>
          <w:tcPr>
            <w:tcW w:w="1696" w:type="dxa"/>
            <w:shd w:val="clear" w:color="auto" w:fill="D9D9D9" w:themeFill="background1" w:themeFillShade="D9"/>
            <w:vAlign w:val="center"/>
          </w:tcPr>
          <w:p w14:paraId="5ED7C063" w14:textId="1C4C0E94" w:rsidR="00751B40" w:rsidRPr="00751B40" w:rsidRDefault="00751B40" w:rsidP="009B441F">
            <w:r w:rsidRPr="00751B40">
              <w:t>Learning outcomes</w:t>
            </w:r>
          </w:p>
        </w:tc>
        <w:tc>
          <w:tcPr>
            <w:tcW w:w="7802" w:type="dxa"/>
            <w:vAlign w:val="center"/>
          </w:tcPr>
          <w:p w14:paraId="4C7BB426" w14:textId="28B71D3E" w:rsidR="00751B40" w:rsidRDefault="00751B40" w:rsidP="00EA6E71">
            <w:pPr>
              <w:pStyle w:val="ListParagraph"/>
              <w:numPr>
                <w:ilvl w:val="0"/>
                <w:numId w:val="2"/>
              </w:numPr>
            </w:pPr>
            <w:r>
              <w:t xml:space="preserve">Understand the main ideas discussed in the publication </w:t>
            </w:r>
          </w:p>
          <w:p w14:paraId="345234AA" w14:textId="143C41E3" w:rsidR="00751B40" w:rsidRDefault="00751B40" w:rsidP="00DA05EB">
            <w:pPr>
              <w:pStyle w:val="ListParagraph"/>
              <w:numPr>
                <w:ilvl w:val="0"/>
                <w:numId w:val="2"/>
              </w:numPr>
            </w:pPr>
            <w:r>
              <w:t xml:space="preserve">Describe the main conclusions and their relevance to the </w:t>
            </w:r>
            <w:r w:rsidR="00BA2C54">
              <w:t xml:space="preserve">environmental science </w:t>
            </w:r>
            <w:r w:rsidR="00332500">
              <w:t>sector</w:t>
            </w:r>
          </w:p>
          <w:p w14:paraId="15FC8BC1" w14:textId="7A3C8215" w:rsidR="005C7F1B" w:rsidRPr="00751B40" w:rsidRDefault="00751B40" w:rsidP="00220C74">
            <w:pPr>
              <w:pStyle w:val="ListParagraph"/>
              <w:numPr>
                <w:ilvl w:val="0"/>
                <w:numId w:val="2"/>
              </w:numPr>
            </w:pPr>
            <w:r>
              <w:t>Critically reflect on the main concepts discussed</w:t>
            </w:r>
          </w:p>
        </w:tc>
      </w:tr>
      <w:tr w:rsidR="00751B40" w14:paraId="7D814482" w14:textId="77777777" w:rsidTr="00220C74">
        <w:trPr>
          <w:trHeight w:val="3110"/>
        </w:trPr>
        <w:tc>
          <w:tcPr>
            <w:tcW w:w="1696" w:type="dxa"/>
            <w:shd w:val="clear" w:color="auto" w:fill="D9D9D9" w:themeFill="background1" w:themeFillShade="D9"/>
            <w:vAlign w:val="center"/>
          </w:tcPr>
          <w:p w14:paraId="14DDB4D6" w14:textId="7D35C2DA" w:rsidR="00751B40" w:rsidRPr="00751B40" w:rsidRDefault="008B3287" w:rsidP="009B441F">
            <w:r>
              <w:t>Format</w:t>
            </w:r>
          </w:p>
        </w:tc>
        <w:tc>
          <w:tcPr>
            <w:tcW w:w="7802" w:type="dxa"/>
            <w:vAlign w:val="center"/>
          </w:tcPr>
          <w:p w14:paraId="29AC5482" w14:textId="2EC4F823" w:rsidR="006137A1" w:rsidRDefault="006137A1" w:rsidP="006137A1">
            <w:pPr>
              <w:pStyle w:val="NoSpacing"/>
              <w:numPr>
                <w:ilvl w:val="0"/>
                <w:numId w:val="2"/>
              </w:numPr>
            </w:pPr>
            <w:r>
              <w:t xml:space="preserve">Articles of particular interest </w:t>
            </w:r>
            <w:r w:rsidR="00455FBF">
              <w:t xml:space="preserve">are </w:t>
            </w:r>
            <w:r>
              <w:t>to be selected and shared with the group to read ahead of the discussion. Suggestions of focus articles are attached here</w:t>
            </w:r>
          </w:p>
          <w:p w14:paraId="35C5A3C2" w14:textId="2E3D3BD0" w:rsidR="008A1149" w:rsidRDefault="008A1149" w:rsidP="008A1149">
            <w:pPr>
              <w:pStyle w:val="NoSpacing"/>
              <w:numPr>
                <w:ilvl w:val="0"/>
                <w:numId w:val="2"/>
              </w:numPr>
            </w:pPr>
            <w:r>
              <w:t>Small group discussions of articles that closely relate to programme content to supplement learning</w:t>
            </w:r>
          </w:p>
          <w:p w14:paraId="09A2CECB" w14:textId="34F176BE" w:rsidR="008A1149" w:rsidRDefault="00226A9D" w:rsidP="00D33F67">
            <w:pPr>
              <w:pStyle w:val="NoSpacing"/>
              <w:numPr>
                <w:ilvl w:val="0"/>
                <w:numId w:val="2"/>
              </w:numPr>
            </w:pPr>
            <w:r>
              <w:t>D</w:t>
            </w:r>
            <w:r w:rsidR="008A1149">
              <w:t>iscussions can be led by participants or the tutor, using the ‘articles in focus’ resource to prompt debate and aid the conversation</w:t>
            </w:r>
          </w:p>
          <w:p w14:paraId="03A3DEA3" w14:textId="358E21E5" w:rsidR="00226A9D" w:rsidRDefault="00095DF9" w:rsidP="00D33F67">
            <w:pPr>
              <w:pStyle w:val="NoSpacing"/>
              <w:numPr>
                <w:ilvl w:val="0"/>
                <w:numId w:val="2"/>
              </w:numPr>
            </w:pPr>
            <w:r w:rsidRPr="00095DF9">
              <w:t>The suggested discussion points</w:t>
            </w:r>
            <w:r w:rsidR="00226A9D">
              <w:t xml:space="preserve"> and </w:t>
            </w:r>
            <w:r w:rsidRPr="00095DF9">
              <w:t>questions provided in this pack for selected articles can be used as a starting point to guide the discussion</w:t>
            </w:r>
            <w:r w:rsidR="000E16BF">
              <w:t xml:space="preserve"> </w:t>
            </w:r>
          </w:p>
          <w:p w14:paraId="186F3642" w14:textId="3637562D" w:rsidR="005C7F1B" w:rsidRPr="00D33F67" w:rsidRDefault="00226A9D" w:rsidP="00220C74">
            <w:pPr>
              <w:pStyle w:val="NoSpacing"/>
              <w:numPr>
                <w:ilvl w:val="0"/>
                <w:numId w:val="2"/>
              </w:numPr>
            </w:pPr>
            <w:r>
              <w:t>S</w:t>
            </w:r>
            <w:r w:rsidR="000E16BF">
              <w:t>tudents</w:t>
            </w:r>
            <w:r>
              <w:t xml:space="preserve"> can be encouraged to</w:t>
            </w:r>
            <w:r w:rsidR="000E16BF">
              <w:t xml:space="preserve"> choose to discuss any of the other articles within the issue</w:t>
            </w:r>
          </w:p>
        </w:tc>
      </w:tr>
    </w:tbl>
    <w:p w14:paraId="276F7F95" w14:textId="0910A2C3" w:rsidR="00C87267" w:rsidRPr="00EA0741" w:rsidRDefault="00C87267" w:rsidP="00111858">
      <w:pPr>
        <w:rPr>
          <w:sz w:val="20"/>
          <w:szCs w:val="20"/>
        </w:rPr>
      </w:pPr>
    </w:p>
    <w:p w14:paraId="0565DA0A" w14:textId="69712B9B" w:rsidR="00B76C91" w:rsidRDefault="00C93350" w:rsidP="00111858">
      <w:pPr>
        <w:rPr>
          <w:b/>
          <w:bCs/>
        </w:rPr>
      </w:pPr>
      <w:r>
        <w:rPr>
          <w:noProof/>
        </w:rPr>
        <w:drawing>
          <wp:anchor distT="0" distB="0" distL="114300" distR="114300" simplePos="0" relativeHeight="251659264" behindDoc="1" locked="0" layoutInCell="1" allowOverlap="1" wp14:anchorId="0A457287" wp14:editId="032DF2D0">
            <wp:simplePos x="0" y="0"/>
            <wp:positionH relativeFrom="margin">
              <wp:align>left</wp:align>
            </wp:positionH>
            <wp:positionV relativeFrom="paragraph">
              <wp:posOffset>3810</wp:posOffset>
            </wp:positionV>
            <wp:extent cx="1082040" cy="1525023"/>
            <wp:effectExtent l="0" t="0" r="3810" b="0"/>
            <wp:wrapSquare wrapText="bothSides"/>
            <wp:docPr id="1" name="Picture 1" descr="M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with low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17" t="1081" r="1264" b="1262"/>
                    <a:stretch/>
                  </pic:blipFill>
                  <pic:spPr bwMode="auto">
                    <a:xfrm>
                      <a:off x="0" y="0"/>
                      <a:ext cx="1082040" cy="15250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6C91" w:rsidRPr="00B76C91">
        <w:t>e</w:t>
      </w:r>
      <w:r w:rsidR="00111858" w:rsidRPr="00B76C91">
        <w:rPr>
          <w:i/>
          <w:iCs/>
        </w:rPr>
        <w:t>nvironmental S</w:t>
      </w:r>
      <w:r w:rsidR="00B76C91" w:rsidRPr="00B76C91">
        <w:rPr>
          <w:i/>
          <w:iCs/>
        </w:rPr>
        <w:t>CIENTIST</w:t>
      </w:r>
      <w:r w:rsidR="00B76C91">
        <w:rPr>
          <w:b/>
          <w:bCs/>
        </w:rPr>
        <w:br/>
      </w:r>
      <w:r w:rsidR="00BD4B3E">
        <w:rPr>
          <w:b/>
          <w:bCs/>
        </w:rPr>
        <w:t>From climate ambition to action</w:t>
      </w:r>
      <w:r w:rsidR="00B76C91">
        <w:rPr>
          <w:b/>
          <w:bCs/>
        </w:rPr>
        <w:br/>
      </w:r>
      <w:r w:rsidR="00B76C91" w:rsidRPr="00B76C91">
        <w:t xml:space="preserve">Vol </w:t>
      </w:r>
      <w:r w:rsidR="002B3187">
        <w:t>30</w:t>
      </w:r>
      <w:r w:rsidR="00B76C91" w:rsidRPr="00B76C91">
        <w:t xml:space="preserve">, Issue </w:t>
      </w:r>
      <w:r w:rsidR="00BD4B3E">
        <w:t>4</w:t>
      </w:r>
    </w:p>
    <w:p w14:paraId="224B4FA1" w14:textId="648FD639" w:rsidR="00EA0741" w:rsidRDefault="002D1507" w:rsidP="00D33F67">
      <w:pPr>
        <w:pStyle w:val="NoSpacing"/>
        <w:rPr>
          <w:b/>
          <w:bCs/>
        </w:rPr>
      </w:pPr>
      <w:hyperlink r:id="rId12" w:history="1">
        <w:r w:rsidR="00C93350" w:rsidRPr="00B109EC">
          <w:rPr>
            <w:rStyle w:val="Hyperlink"/>
          </w:rPr>
          <w:t>https://www.the-ies.org/resources/climate-ambition-action-1</w:t>
        </w:r>
      </w:hyperlink>
      <w:r w:rsidR="00C93350">
        <w:t xml:space="preserve"> </w:t>
      </w:r>
    </w:p>
    <w:p w14:paraId="22822B39" w14:textId="583D4CE2" w:rsidR="00B76C91" w:rsidRDefault="00B76C91" w:rsidP="00D33F67">
      <w:pPr>
        <w:pStyle w:val="NoSpacing"/>
        <w:rPr>
          <w:b/>
          <w:bCs/>
        </w:rPr>
      </w:pPr>
    </w:p>
    <w:p w14:paraId="42BB59B6" w14:textId="0138A433" w:rsidR="00220C74" w:rsidRDefault="00220C74" w:rsidP="00D33F67">
      <w:pPr>
        <w:pStyle w:val="NoSpacing"/>
        <w:rPr>
          <w:b/>
          <w:bCs/>
        </w:rPr>
      </w:pPr>
    </w:p>
    <w:p w14:paraId="74FFE568" w14:textId="623DCCAD" w:rsidR="00C87267" w:rsidRDefault="00C87267" w:rsidP="00D33F67">
      <w:pPr>
        <w:pStyle w:val="NoSpacing"/>
        <w:rPr>
          <w:b/>
          <w:bCs/>
        </w:rPr>
      </w:pPr>
    </w:p>
    <w:p w14:paraId="77E1F93D" w14:textId="77777777" w:rsidR="00C93350" w:rsidRDefault="00C93350" w:rsidP="00D33F67">
      <w:pPr>
        <w:pStyle w:val="NoSpacing"/>
        <w:rPr>
          <w:b/>
          <w:bCs/>
        </w:rPr>
      </w:pPr>
    </w:p>
    <w:p w14:paraId="45D3C6B2" w14:textId="04D1ACA6" w:rsidR="00EA0741" w:rsidRPr="00EA0741" w:rsidRDefault="00EA0741" w:rsidP="00D33F67">
      <w:pPr>
        <w:pStyle w:val="NoSpacing"/>
        <w:rPr>
          <w:b/>
          <w:bCs/>
          <w:sz w:val="30"/>
          <w:szCs w:val="30"/>
        </w:rPr>
      </w:pPr>
    </w:p>
    <w:p w14:paraId="44116413" w14:textId="77777777" w:rsidR="00EA0741" w:rsidRPr="00EA0741" w:rsidRDefault="00EA0741" w:rsidP="00D33F67">
      <w:pPr>
        <w:pStyle w:val="NoSpacing"/>
        <w:rPr>
          <w:b/>
          <w:bCs/>
          <w:sz w:val="2"/>
          <w:szCs w:val="2"/>
        </w:rPr>
      </w:pPr>
    </w:p>
    <w:tbl>
      <w:tblPr>
        <w:tblStyle w:val="TableGrid"/>
        <w:tblW w:w="9498" w:type="dxa"/>
        <w:tblInd w:w="-5" w:type="dxa"/>
        <w:tblLook w:val="04A0" w:firstRow="1" w:lastRow="0" w:firstColumn="1" w:lastColumn="0" w:noHBand="0" w:noVBand="1"/>
      </w:tblPr>
      <w:tblGrid>
        <w:gridCol w:w="1701"/>
        <w:gridCol w:w="7797"/>
      </w:tblGrid>
      <w:tr w:rsidR="00111858" w:rsidRPr="008C066D" w14:paraId="29A6278B" w14:textId="77777777" w:rsidTr="00721BF8">
        <w:trPr>
          <w:trHeight w:val="2162"/>
        </w:trPr>
        <w:tc>
          <w:tcPr>
            <w:tcW w:w="1701" w:type="dxa"/>
            <w:shd w:val="clear" w:color="auto" w:fill="D9D9D9" w:themeFill="background1" w:themeFillShade="D9"/>
            <w:vAlign w:val="center"/>
          </w:tcPr>
          <w:p w14:paraId="66A52193" w14:textId="73686353" w:rsidR="00111858" w:rsidRPr="00111858" w:rsidRDefault="00111858" w:rsidP="00052622">
            <w:pPr>
              <w:rPr>
                <w:b/>
                <w:bCs/>
              </w:rPr>
            </w:pPr>
            <w:r w:rsidRPr="00111858">
              <w:rPr>
                <w:b/>
                <w:bCs/>
              </w:rPr>
              <w:t xml:space="preserve">Topic overview </w:t>
            </w:r>
          </w:p>
        </w:tc>
        <w:tc>
          <w:tcPr>
            <w:tcW w:w="7797" w:type="dxa"/>
            <w:vAlign w:val="center"/>
          </w:tcPr>
          <w:p w14:paraId="49B7C24F" w14:textId="24A838A5" w:rsidR="00C93350" w:rsidRPr="00EA0741" w:rsidRDefault="00C93350" w:rsidP="00856BE0">
            <w:pPr>
              <w:pStyle w:val="NoSpacing"/>
            </w:pPr>
            <w:r w:rsidRPr="00C93350">
              <w:t>COP26 presented a potentially pivotal moment in the fight against climate change</w:t>
            </w:r>
            <w:r w:rsidR="00A466A4">
              <w:t xml:space="preserve"> – </w:t>
            </w:r>
            <w:r w:rsidRPr="00C93350">
              <w:t xml:space="preserve">bringing together global leaders to negotiate the new Glasgow Climate Pact. </w:t>
            </w:r>
            <w:r w:rsidR="00660B7A">
              <w:t xml:space="preserve">This edition </w:t>
            </w:r>
            <w:r w:rsidRPr="00C93350">
              <w:t>examine</w:t>
            </w:r>
            <w:r w:rsidR="00660B7A">
              <w:t>s</w:t>
            </w:r>
            <w:r w:rsidRPr="00C93350">
              <w:t xml:space="preserve"> the achievements and disappointments of the conference, the benefits of natural climate solutions, the powers and influence of local government, the critical role of the ocean in tackling climate change, and many more topics.</w:t>
            </w:r>
          </w:p>
        </w:tc>
      </w:tr>
      <w:tr w:rsidR="00111858" w:rsidRPr="008C066D" w14:paraId="04339BDA" w14:textId="77777777" w:rsidTr="008C26C9">
        <w:trPr>
          <w:trHeight w:val="289"/>
        </w:trPr>
        <w:tc>
          <w:tcPr>
            <w:tcW w:w="9498" w:type="dxa"/>
            <w:gridSpan w:val="2"/>
            <w:shd w:val="clear" w:color="auto" w:fill="D9D9D9" w:themeFill="background1" w:themeFillShade="D9"/>
          </w:tcPr>
          <w:p w14:paraId="61B1FC94" w14:textId="0502C6AA" w:rsidR="00111858" w:rsidRPr="00111858" w:rsidRDefault="00111858" w:rsidP="00111858">
            <w:pPr>
              <w:pStyle w:val="NoSpacing"/>
              <w:jc w:val="center"/>
              <w:rPr>
                <w:b/>
                <w:bCs/>
              </w:rPr>
            </w:pPr>
            <w:r w:rsidRPr="00111858">
              <w:rPr>
                <w:b/>
                <w:bCs/>
              </w:rPr>
              <w:lastRenderedPageBreak/>
              <w:t xml:space="preserve">Articles in </w:t>
            </w:r>
            <w:r w:rsidR="00856BE0">
              <w:rPr>
                <w:b/>
                <w:bCs/>
              </w:rPr>
              <w:t>f</w:t>
            </w:r>
            <w:r w:rsidRPr="00111858">
              <w:rPr>
                <w:b/>
                <w:bCs/>
              </w:rPr>
              <w:t>ocus</w:t>
            </w:r>
          </w:p>
        </w:tc>
      </w:tr>
      <w:tr w:rsidR="00C05BB6" w:rsidRPr="008C066D" w14:paraId="3F49C2ED" w14:textId="77777777" w:rsidTr="00721BF8">
        <w:trPr>
          <w:trHeight w:val="965"/>
        </w:trPr>
        <w:tc>
          <w:tcPr>
            <w:tcW w:w="1701" w:type="dxa"/>
            <w:vMerge w:val="restart"/>
            <w:shd w:val="clear" w:color="auto" w:fill="D9D9D9" w:themeFill="background1" w:themeFillShade="D9"/>
            <w:vAlign w:val="center"/>
          </w:tcPr>
          <w:p w14:paraId="3824599B" w14:textId="77777777" w:rsidR="00563081" w:rsidRPr="00563081" w:rsidRDefault="00563081" w:rsidP="00563081">
            <w:pPr>
              <w:rPr>
                <w:b/>
                <w:bCs/>
              </w:rPr>
            </w:pPr>
            <w:r w:rsidRPr="00563081">
              <w:rPr>
                <w:b/>
                <w:bCs/>
              </w:rPr>
              <w:t>Circular economy</w:t>
            </w:r>
          </w:p>
          <w:p w14:paraId="658E4FAC" w14:textId="77777777" w:rsidR="00563081" w:rsidRPr="00563081" w:rsidRDefault="00563081" w:rsidP="00563081">
            <w:pPr>
              <w:rPr>
                <w:b/>
                <w:bCs/>
              </w:rPr>
            </w:pPr>
            <w:r w:rsidRPr="00563081">
              <w:rPr>
                <w:b/>
                <w:bCs/>
              </w:rPr>
              <w:t>practice on a</w:t>
            </w:r>
          </w:p>
          <w:p w14:paraId="7A5A969D" w14:textId="721B86E2" w:rsidR="002B3187" w:rsidRDefault="00563081" w:rsidP="00563081">
            <w:pPr>
              <w:rPr>
                <w:b/>
                <w:bCs/>
              </w:rPr>
            </w:pPr>
            <w:r w:rsidRPr="00563081">
              <w:rPr>
                <w:b/>
                <w:bCs/>
              </w:rPr>
              <w:t>small island</w:t>
            </w:r>
          </w:p>
          <w:p w14:paraId="25127467" w14:textId="77777777" w:rsidR="00563081" w:rsidRDefault="00563081" w:rsidP="00563081">
            <w:pPr>
              <w:rPr>
                <w:b/>
                <w:bCs/>
              </w:rPr>
            </w:pPr>
          </w:p>
          <w:p w14:paraId="1FA7FD7C" w14:textId="3BC6EA86" w:rsidR="00C05BB6" w:rsidRPr="008C7366" w:rsidRDefault="00563081" w:rsidP="00C05BB6">
            <w:pPr>
              <w:rPr>
                <w:b/>
                <w:bCs/>
              </w:rPr>
            </w:pPr>
            <w:r w:rsidRPr="00563081">
              <w:rPr>
                <w:b/>
                <w:bCs/>
              </w:rPr>
              <w:t>Kripa Dwarakanath, Daniella-Louise Bourne and Kirsty Platt</w:t>
            </w:r>
            <w:r w:rsidRPr="0007383B">
              <w:rPr>
                <w:b/>
                <w:bCs/>
              </w:rPr>
              <w:t xml:space="preserve"> </w:t>
            </w:r>
            <w:r w:rsidR="00C05BB6" w:rsidRPr="0007383B">
              <w:rPr>
                <w:b/>
                <w:bCs/>
              </w:rPr>
              <w:t>(p.</w:t>
            </w:r>
            <w:r w:rsidR="00EA0741">
              <w:rPr>
                <w:b/>
                <w:bCs/>
              </w:rPr>
              <w:t>2</w:t>
            </w:r>
            <w:r w:rsidR="00680D7C">
              <w:rPr>
                <w:b/>
                <w:bCs/>
              </w:rPr>
              <w:t>4</w:t>
            </w:r>
            <w:r w:rsidR="00C05BB6" w:rsidRPr="0007383B">
              <w:rPr>
                <w:b/>
                <w:bCs/>
              </w:rPr>
              <w:t>)</w:t>
            </w:r>
          </w:p>
        </w:tc>
        <w:tc>
          <w:tcPr>
            <w:tcW w:w="7797" w:type="dxa"/>
            <w:shd w:val="clear" w:color="auto" w:fill="E7E6E6" w:themeFill="background2"/>
            <w:vAlign w:val="center"/>
          </w:tcPr>
          <w:p w14:paraId="37E17A82" w14:textId="6B13CAC6" w:rsidR="00D545E7" w:rsidRDefault="002D07E1" w:rsidP="00D545E7">
            <w:pPr>
              <w:pStyle w:val="NoSpacing"/>
            </w:pPr>
            <w:r>
              <w:rPr>
                <w:b/>
                <w:bCs/>
              </w:rPr>
              <w:t>Article overview:</w:t>
            </w:r>
            <w:r w:rsidR="00C05BB6" w:rsidRPr="002D07E1">
              <w:t xml:space="preserve"> </w:t>
            </w:r>
            <w:r w:rsidR="00851176">
              <w:t xml:space="preserve">This article </w:t>
            </w:r>
            <w:r w:rsidR="00EA0741">
              <w:t xml:space="preserve">explores </w:t>
            </w:r>
            <w:r w:rsidR="00D545E7">
              <w:t>a circular approach to waste</w:t>
            </w:r>
          </w:p>
          <w:p w14:paraId="0AB43B0B" w14:textId="60258D97" w:rsidR="00631919" w:rsidRPr="00631919" w:rsidRDefault="00D545E7" w:rsidP="00D545E7">
            <w:pPr>
              <w:pStyle w:val="NoSpacing"/>
            </w:pPr>
            <w:r>
              <w:t>management on Guam.</w:t>
            </w:r>
          </w:p>
        </w:tc>
      </w:tr>
      <w:tr w:rsidR="00C05BB6" w:rsidRPr="008C066D" w14:paraId="6B4F9518" w14:textId="77777777" w:rsidTr="00BC0D77">
        <w:trPr>
          <w:trHeight w:val="2539"/>
        </w:trPr>
        <w:tc>
          <w:tcPr>
            <w:tcW w:w="1701" w:type="dxa"/>
            <w:vMerge/>
            <w:shd w:val="clear" w:color="auto" w:fill="D9D9D9" w:themeFill="background1" w:themeFillShade="D9"/>
          </w:tcPr>
          <w:p w14:paraId="5C8545E1" w14:textId="77777777" w:rsidR="00C05BB6" w:rsidRPr="0007383B" w:rsidRDefault="00C05BB6" w:rsidP="00C05BB6">
            <w:pPr>
              <w:rPr>
                <w:b/>
                <w:bCs/>
              </w:rPr>
            </w:pPr>
          </w:p>
        </w:tc>
        <w:tc>
          <w:tcPr>
            <w:tcW w:w="7797" w:type="dxa"/>
            <w:vAlign w:val="center"/>
          </w:tcPr>
          <w:p w14:paraId="0AEC94F7" w14:textId="4AC87D30" w:rsidR="00ED510B" w:rsidRDefault="00ED510B" w:rsidP="009D63CC">
            <w:pPr>
              <w:pStyle w:val="NoSpacing"/>
              <w:numPr>
                <w:ilvl w:val="0"/>
                <w:numId w:val="8"/>
              </w:numPr>
              <w:spacing w:before="60"/>
              <w:ind w:left="357" w:hanging="357"/>
            </w:pPr>
            <w:r>
              <w:t xml:space="preserve">Why is the implementation of circular economy solutions </w:t>
            </w:r>
            <w:r w:rsidR="00D545E7">
              <w:t xml:space="preserve">for waste management </w:t>
            </w:r>
            <w:r>
              <w:t>important</w:t>
            </w:r>
            <w:r w:rsidR="00214DA1">
              <w:t xml:space="preserve"> on</w:t>
            </w:r>
            <w:r>
              <w:t xml:space="preserve"> Guam</w:t>
            </w:r>
            <w:r w:rsidR="00822BEE">
              <w:t xml:space="preserve">, and </w:t>
            </w:r>
            <w:r w:rsidR="00885A0F">
              <w:t>what makes it a good location for testing circular econom</w:t>
            </w:r>
            <w:r w:rsidR="00356670">
              <w:t>y principles in practice</w:t>
            </w:r>
            <w:r>
              <w:t>?</w:t>
            </w:r>
          </w:p>
          <w:p w14:paraId="53FE0F80" w14:textId="39CC38C6" w:rsidR="00DE62CB" w:rsidRDefault="00DE62CB" w:rsidP="009D63CC">
            <w:pPr>
              <w:pStyle w:val="NoSpacing"/>
              <w:numPr>
                <w:ilvl w:val="0"/>
                <w:numId w:val="8"/>
              </w:numPr>
              <w:spacing w:before="60"/>
              <w:ind w:left="357" w:hanging="357"/>
            </w:pPr>
            <w:r>
              <w:t xml:space="preserve">What </w:t>
            </w:r>
            <w:r w:rsidR="00680D7C">
              <w:t xml:space="preserve">do you think are </w:t>
            </w:r>
            <w:r>
              <w:t>the key elements needed for successful outcomes and why are each important?</w:t>
            </w:r>
          </w:p>
          <w:p w14:paraId="7FD6B7A1" w14:textId="595A6C65" w:rsidR="00F95824" w:rsidRDefault="00D545E7" w:rsidP="00DE62CB">
            <w:pPr>
              <w:pStyle w:val="NoSpacing"/>
              <w:numPr>
                <w:ilvl w:val="0"/>
                <w:numId w:val="8"/>
              </w:numPr>
              <w:spacing w:before="60"/>
              <w:ind w:left="357" w:hanging="357"/>
            </w:pPr>
            <w:r>
              <w:t>W</w:t>
            </w:r>
            <w:r w:rsidR="00EA0741">
              <w:t xml:space="preserve">hat do you think the challenges are </w:t>
            </w:r>
            <w:r w:rsidR="00E313EE">
              <w:t>to</w:t>
            </w:r>
            <w:r w:rsidR="00EA0741">
              <w:t xml:space="preserve"> </w:t>
            </w:r>
            <w:r w:rsidR="001F49F3">
              <w:t>applying circular economy principles elsewhere</w:t>
            </w:r>
            <w:r>
              <w:t>, particularly on a larger scale</w:t>
            </w:r>
            <w:r w:rsidR="00EA0741">
              <w:t>?</w:t>
            </w:r>
          </w:p>
        </w:tc>
      </w:tr>
      <w:tr w:rsidR="00C05BB6" w:rsidRPr="008C066D" w14:paraId="4D1B21F3" w14:textId="77777777" w:rsidTr="00721BF8">
        <w:trPr>
          <w:trHeight w:val="987"/>
        </w:trPr>
        <w:tc>
          <w:tcPr>
            <w:tcW w:w="1701" w:type="dxa"/>
            <w:vMerge w:val="restart"/>
            <w:shd w:val="clear" w:color="auto" w:fill="D9D9D9" w:themeFill="background1" w:themeFillShade="D9"/>
            <w:vAlign w:val="center"/>
          </w:tcPr>
          <w:p w14:paraId="6A48F104" w14:textId="77777777" w:rsidR="00680D7C" w:rsidRPr="00680D7C" w:rsidRDefault="00680D7C" w:rsidP="00680D7C">
            <w:pPr>
              <w:rPr>
                <w:b/>
                <w:bCs/>
              </w:rPr>
            </w:pPr>
            <w:r w:rsidRPr="00680D7C">
              <w:rPr>
                <w:b/>
                <w:bCs/>
              </w:rPr>
              <w:t>Mobilising</w:t>
            </w:r>
          </w:p>
          <w:p w14:paraId="0B531DE4" w14:textId="77777777" w:rsidR="00680D7C" w:rsidRPr="00680D7C" w:rsidRDefault="00680D7C" w:rsidP="00680D7C">
            <w:pPr>
              <w:rPr>
                <w:b/>
                <w:bCs/>
              </w:rPr>
            </w:pPr>
            <w:r w:rsidRPr="00680D7C">
              <w:rPr>
                <w:b/>
                <w:bCs/>
              </w:rPr>
              <w:t>private capital</w:t>
            </w:r>
          </w:p>
          <w:p w14:paraId="0EAE7BD6" w14:textId="77777777" w:rsidR="00680D7C" w:rsidRPr="00680D7C" w:rsidRDefault="00680D7C" w:rsidP="00680D7C">
            <w:pPr>
              <w:rPr>
                <w:b/>
                <w:bCs/>
              </w:rPr>
            </w:pPr>
            <w:r w:rsidRPr="00680D7C">
              <w:rPr>
                <w:b/>
                <w:bCs/>
              </w:rPr>
              <w:t>for nature-based</w:t>
            </w:r>
          </w:p>
          <w:p w14:paraId="0E4BD959" w14:textId="3F979528" w:rsidR="00EA0741" w:rsidRDefault="00680D7C" w:rsidP="00680D7C">
            <w:pPr>
              <w:rPr>
                <w:b/>
                <w:bCs/>
              </w:rPr>
            </w:pPr>
            <w:r w:rsidRPr="00680D7C">
              <w:rPr>
                <w:b/>
                <w:bCs/>
              </w:rPr>
              <w:t>solutions</w:t>
            </w:r>
          </w:p>
          <w:p w14:paraId="354207AF" w14:textId="77777777" w:rsidR="00680D7C" w:rsidRDefault="00680D7C" w:rsidP="00680D7C">
            <w:pPr>
              <w:rPr>
                <w:b/>
                <w:bCs/>
              </w:rPr>
            </w:pPr>
          </w:p>
          <w:p w14:paraId="5BDD1A55" w14:textId="77777777" w:rsidR="00680D7C" w:rsidRPr="00680D7C" w:rsidRDefault="00680D7C" w:rsidP="00680D7C">
            <w:pPr>
              <w:rPr>
                <w:b/>
                <w:bCs/>
              </w:rPr>
            </w:pPr>
            <w:r w:rsidRPr="00680D7C">
              <w:rPr>
                <w:b/>
                <w:bCs/>
              </w:rPr>
              <w:t>Raphaëlle Vallet, David Viner,</w:t>
            </w:r>
          </w:p>
          <w:p w14:paraId="4C481991" w14:textId="77777777" w:rsidR="00680D7C" w:rsidRPr="00680D7C" w:rsidRDefault="00680D7C" w:rsidP="00680D7C">
            <w:pPr>
              <w:rPr>
                <w:b/>
                <w:bCs/>
              </w:rPr>
            </w:pPr>
            <w:r w:rsidRPr="00680D7C">
              <w:rPr>
                <w:b/>
                <w:bCs/>
              </w:rPr>
              <w:t>Adrian Barnes, Robin Grenfell</w:t>
            </w:r>
          </w:p>
          <w:p w14:paraId="63EFB1F3" w14:textId="5DDADC2B" w:rsidR="00C05BB6" w:rsidRPr="0007383B" w:rsidRDefault="00680D7C" w:rsidP="00680D7C">
            <w:pPr>
              <w:rPr>
                <w:b/>
                <w:bCs/>
              </w:rPr>
            </w:pPr>
            <w:r w:rsidRPr="00680D7C">
              <w:rPr>
                <w:b/>
                <w:bCs/>
              </w:rPr>
              <w:t xml:space="preserve">and Hannah Whyte </w:t>
            </w:r>
            <w:r w:rsidR="00D46787" w:rsidRPr="0007383B">
              <w:rPr>
                <w:b/>
                <w:bCs/>
              </w:rPr>
              <w:t>(p.</w:t>
            </w:r>
            <w:r>
              <w:rPr>
                <w:b/>
                <w:bCs/>
              </w:rPr>
              <w:t>50</w:t>
            </w:r>
            <w:r w:rsidR="00D46787" w:rsidRPr="0007383B">
              <w:rPr>
                <w:b/>
                <w:bCs/>
              </w:rPr>
              <w:t>)</w:t>
            </w:r>
          </w:p>
        </w:tc>
        <w:tc>
          <w:tcPr>
            <w:tcW w:w="7797" w:type="dxa"/>
            <w:shd w:val="clear" w:color="auto" w:fill="E7E6E6" w:themeFill="background2"/>
            <w:vAlign w:val="center"/>
          </w:tcPr>
          <w:p w14:paraId="75EBC807" w14:textId="0B20CE37" w:rsidR="00721BF8" w:rsidRDefault="002D07E1" w:rsidP="00721BF8">
            <w:pPr>
              <w:pStyle w:val="NoSpacing"/>
            </w:pPr>
            <w:r w:rsidRPr="00F83AEA">
              <w:rPr>
                <w:b/>
                <w:bCs/>
              </w:rPr>
              <w:t>Article overview:</w:t>
            </w:r>
            <w:r w:rsidRPr="00F83AEA">
              <w:t xml:space="preserve"> </w:t>
            </w:r>
            <w:r w:rsidR="00D46787">
              <w:t xml:space="preserve">This article outlines </w:t>
            </w:r>
            <w:r w:rsidR="00721BF8">
              <w:t>what is needed to enable private financial</w:t>
            </w:r>
          </w:p>
          <w:p w14:paraId="7D8AB3A8" w14:textId="7165A143" w:rsidR="00C05BB6" w:rsidRPr="00D46787" w:rsidRDefault="00721BF8" w:rsidP="00721BF8">
            <w:pPr>
              <w:pStyle w:val="NoSpacing"/>
            </w:pPr>
            <w:r>
              <w:t>institutions to invest in nature.</w:t>
            </w:r>
          </w:p>
        </w:tc>
      </w:tr>
      <w:tr w:rsidR="00C05BB6" w:rsidRPr="008C066D" w14:paraId="447BE1EC" w14:textId="77777777" w:rsidTr="00721BF8">
        <w:trPr>
          <w:trHeight w:val="2542"/>
        </w:trPr>
        <w:tc>
          <w:tcPr>
            <w:tcW w:w="1701" w:type="dxa"/>
            <w:vMerge/>
            <w:shd w:val="clear" w:color="auto" w:fill="D9D9D9" w:themeFill="background1" w:themeFillShade="D9"/>
          </w:tcPr>
          <w:p w14:paraId="13FCF6F3" w14:textId="77777777" w:rsidR="00C05BB6" w:rsidRPr="0007383B" w:rsidRDefault="00C05BB6" w:rsidP="00C05BB6">
            <w:pPr>
              <w:rPr>
                <w:b/>
                <w:bCs/>
              </w:rPr>
            </w:pPr>
          </w:p>
        </w:tc>
        <w:tc>
          <w:tcPr>
            <w:tcW w:w="7797" w:type="dxa"/>
            <w:vAlign w:val="center"/>
          </w:tcPr>
          <w:p w14:paraId="2B52894B" w14:textId="496C0DE2" w:rsidR="00207130" w:rsidRDefault="00207130" w:rsidP="00207130">
            <w:pPr>
              <w:pStyle w:val="NoSpacing"/>
              <w:numPr>
                <w:ilvl w:val="0"/>
                <w:numId w:val="8"/>
              </w:numPr>
              <w:spacing w:before="60"/>
            </w:pPr>
            <w:r>
              <w:t>Why is private capital important in addressing the climate and biodiversity crises?</w:t>
            </w:r>
          </w:p>
          <w:p w14:paraId="6EF3B543" w14:textId="77777777" w:rsidR="009F0C56" w:rsidRDefault="00680D7C" w:rsidP="007D462C">
            <w:pPr>
              <w:pStyle w:val="NoSpacing"/>
              <w:numPr>
                <w:ilvl w:val="0"/>
                <w:numId w:val="8"/>
              </w:numPr>
              <w:spacing w:before="60"/>
            </w:pPr>
            <w:r>
              <w:t>The article describes five challenges to accelerating private funding for nature-based solutions</w:t>
            </w:r>
            <w:r w:rsidR="00F92951">
              <w:t xml:space="preserve"> (NBS)</w:t>
            </w:r>
            <w:r w:rsidR="00F20900">
              <w:t>. How do you think some of these challenges could be best addressed and overcome?</w:t>
            </w:r>
          </w:p>
          <w:p w14:paraId="6A9A820B" w14:textId="63F1F2B4" w:rsidR="005B53F7" w:rsidRPr="002D7DC0" w:rsidRDefault="005B53F7" w:rsidP="005B53F7">
            <w:pPr>
              <w:pStyle w:val="NoSpacing"/>
              <w:numPr>
                <w:ilvl w:val="0"/>
                <w:numId w:val="8"/>
              </w:numPr>
              <w:spacing w:before="60"/>
            </w:pPr>
            <w:r>
              <w:t xml:space="preserve">Consider some </w:t>
            </w:r>
            <w:r>
              <w:t>NBS</w:t>
            </w:r>
            <w:r>
              <w:t xml:space="preserve"> initiatives you are aware of; do you know how these are financed? Are these projects funded by private or public sources?</w:t>
            </w:r>
          </w:p>
        </w:tc>
      </w:tr>
      <w:tr w:rsidR="004A799F" w:rsidRPr="008C066D" w14:paraId="540F96B5" w14:textId="77777777" w:rsidTr="00721BF8">
        <w:trPr>
          <w:trHeight w:val="983"/>
        </w:trPr>
        <w:tc>
          <w:tcPr>
            <w:tcW w:w="1701" w:type="dxa"/>
            <w:vMerge w:val="restart"/>
            <w:shd w:val="clear" w:color="auto" w:fill="D9D9D9" w:themeFill="background1" w:themeFillShade="D9"/>
          </w:tcPr>
          <w:p w14:paraId="3483FBD2" w14:textId="77777777" w:rsidR="005C7F1B" w:rsidRDefault="005C7F1B" w:rsidP="00C05BB6">
            <w:pPr>
              <w:rPr>
                <w:b/>
                <w:bCs/>
              </w:rPr>
            </w:pPr>
          </w:p>
          <w:p w14:paraId="1C139B0E" w14:textId="03A6A2BD" w:rsidR="005C7F1B" w:rsidRDefault="005C7F1B" w:rsidP="00C05BB6">
            <w:pPr>
              <w:rPr>
                <w:b/>
                <w:bCs/>
              </w:rPr>
            </w:pPr>
          </w:p>
          <w:p w14:paraId="2B2D6DAB" w14:textId="77777777" w:rsidR="00C87267" w:rsidRDefault="00C87267" w:rsidP="00C05BB6">
            <w:pPr>
              <w:rPr>
                <w:b/>
                <w:bCs/>
              </w:rPr>
            </w:pPr>
          </w:p>
          <w:p w14:paraId="0874F39C" w14:textId="77777777" w:rsidR="002B69E6" w:rsidRPr="002B69E6" w:rsidRDefault="002B69E6" w:rsidP="002B69E6">
            <w:pPr>
              <w:rPr>
                <w:b/>
                <w:bCs/>
              </w:rPr>
            </w:pPr>
            <w:r w:rsidRPr="002B69E6">
              <w:rPr>
                <w:b/>
                <w:bCs/>
              </w:rPr>
              <w:t>Local authorities</w:t>
            </w:r>
          </w:p>
          <w:p w14:paraId="2E990807" w14:textId="1917E139" w:rsidR="009D63CC" w:rsidRDefault="002B69E6" w:rsidP="002B69E6">
            <w:pPr>
              <w:rPr>
                <w:b/>
                <w:bCs/>
              </w:rPr>
            </w:pPr>
            <w:r w:rsidRPr="002B69E6">
              <w:rPr>
                <w:b/>
                <w:bCs/>
              </w:rPr>
              <w:t>and climate action</w:t>
            </w:r>
          </w:p>
          <w:p w14:paraId="4428042D" w14:textId="77777777" w:rsidR="002B69E6" w:rsidRPr="006978D9" w:rsidRDefault="002B69E6" w:rsidP="002B69E6">
            <w:pPr>
              <w:rPr>
                <w:b/>
                <w:bCs/>
                <w:highlight w:val="yellow"/>
              </w:rPr>
            </w:pPr>
          </w:p>
          <w:p w14:paraId="1534F4FE" w14:textId="01D742F4" w:rsidR="004A799F" w:rsidRPr="0007383B" w:rsidRDefault="002B69E6" w:rsidP="00CF2873">
            <w:pPr>
              <w:rPr>
                <w:b/>
                <w:bCs/>
              </w:rPr>
            </w:pPr>
            <w:r w:rsidRPr="002B69E6">
              <w:rPr>
                <w:b/>
                <w:bCs/>
              </w:rPr>
              <w:t xml:space="preserve">Adam Williams </w:t>
            </w:r>
            <w:r w:rsidR="004A799F" w:rsidRPr="00D46787">
              <w:rPr>
                <w:b/>
                <w:bCs/>
              </w:rPr>
              <w:t>(p.</w:t>
            </w:r>
            <w:r>
              <w:rPr>
                <w:b/>
                <w:bCs/>
              </w:rPr>
              <w:t>62</w:t>
            </w:r>
            <w:r w:rsidR="004A799F" w:rsidRPr="00D46787">
              <w:rPr>
                <w:b/>
                <w:bCs/>
              </w:rPr>
              <w:t>)</w:t>
            </w:r>
          </w:p>
        </w:tc>
        <w:tc>
          <w:tcPr>
            <w:tcW w:w="7797" w:type="dxa"/>
            <w:shd w:val="clear" w:color="auto" w:fill="E7E6E6" w:themeFill="background2"/>
            <w:vAlign w:val="center"/>
          </w:tcPr>
          <w:p w14:paraId="2BA78114" w14:textId="75B608F3" w:rsidR="000A683A" w:rsidRPr="00E46DBA" w:rsidRDefault="00105ECE" w:rsidP="002B69E6">
            <w:pPr>
              <w:pStyle w:val="NoSpacing"/>
              <w:rPr>
                <w:highlight w:val="yellow"/>
              </w:rPr>
            </w:pPr>
            <w:r w:rsidRPr="00FC33BE">
              <w:rPr>
                <w:b/>
                <w:bCs/>
              </w:rPr>
              <w:t>Article overview:</w:t>
            </w:r>
            <w:r w:rsidRPr="00FC33BE">
              <w:t xml:space="preserve"> This article </w:t>
            </w:r>
            <w:r w:rsidR="002B69E6">
              <w:t>examines the powers and influence of local government.</w:t>
            </w:r>
          </w:p>
        </w:tc>
      </w:tr>
      <w:tr w:rsidR="004A799F" w:rsidRPr="008C066D" w14:paraId="16D2521A" w14:textId="77777777" w:rsidTr="00721BF8">
        <w:trPr>
          <w:trHeight w:val="2560"/>
        </w:trPr>
        <w:tc>
          <w:tcPr>
            <w:tcW w:w="1701" w:type="dxa"/>
            <w:vMerge/>
            <w:shd w:val="clear" w:color="auto" w:fill="D9D9D9" w:themeFill="background1" w:themeFillShade="D9"/>
          </w:tcPr>
          <w:p w14:paraId="75C52026" w14:textId="77777777" w:rsidR="004A799F" w:rsidRDefault="004A799F" w:rsidP="00C05BB6">
            <w:pPr>
              <w:rPr>
                <w:b/>
                <w:bCs/>
              </w:rPr>
            </w:pPr>
          </w:p>
        </w:tc>
        <w:tc>
          <w:tcPr>
            <w:tcW w:w="7797" w:type="dxa"/>
            <w:vAlign w:val="center"/>
          </w:tcPr>
          <w:p w14:paraId="6C781270" w14:textId="6275C97A" w:rsidR="009527A5" w:rsidRDefault="009527A5" w:rsidP="009D63CC">
            <w:pPr>
              <w:pStyle w:val="NoSpacing"/>
              <w:numPr>
                <w:ilvl w:val="0"/>
                <w:numId w:val="10"/>
              </w:numPr>
              <w:spacing w:before="60"/>
              <w:ind w:left="357" w:hanging="357"/>
            </w:pPr>
            <w:r>
              <w:t xml:space="preserve">Describe the role </w:t>
            </w:r>
            <w:r w:rsidR="006603AC">
              <w:t xml:space="preserve">and influence </w:t>
            </w:r>
            <w:r>
              <w:t>of local authorities in reducing greenhouse gas emissions.</w:t>
            </w:r>
          </w:p>
          <w:p w14:paraId="7CC4CE3B" w14:textId="1865A4B1" w:rsidR="009527A5" w:rsidRDefault="008D64CB" w:rsidP="009D63CC">
            <w:pPr>
              <w:pStyle w:val="NoSpacing"/>
              <w:numPr>
                <w:ilvl w:val="0"/>
                <w:numId w:val="10"/>
              </w:numPr>
              <w:spacing w:before="60"/>
              <w:ind w:left="357" w:hanging="357"/>
            </w:pPr>
            <w:r>
              <w:t xml:space="preserve">Of the </w:t>
            </w:r>
            <w:r w:rsidR="00210818">
              <w:t xml:space="preserve">suggested actions </w:t>
            </w:r>
            <w:r w:rsidR="005B0959">
              <w:t xml:space="preserve">for local authorities to </w:t>
            </w:r>
            <w:r w:rsidR="00407640">
              <w:t xml:space="preserve">consider </w:t>
            </w:r>
            <w:r w:rsidR="00503DE4">
              <w:t>to tackle</w:t>
            </w:r>
            <w:r w:rsidR="00407640">
              <w:t xml:space="preserve"> emissions,</w:t>
            </w:r>
            <w:r w:rsidR="00F6175C">
              <w:t xml:space="preserve"> outlined on page 65, </w:t>
            </w:r>
            <w:r w:rsidR="00407640">
              <w:t xml:space="preserve">which do you think might present the </w:t>
            </w:r>
            <w:r w:rsidR="008A2D09">
              <w:t>best opportunities</w:t>
            </w:r>
            <w:r w:rsidR="00B84019">
              <w:t xml:space="preserve">? What do you think </w:t>
            </w:r>
            <w:r w:rsidR="00D60544">
              <w:t>the</w:t>
            </w:r>
            <w:r w:rsidR="00503DE4">
              <w:t xml:space="preserve"> </w:t>
            </w:r>
            <w:r w:rsidR="00B84019">
              <w:t xml:space="preserve">challenges </w:t>
            </w:r>
            <w:r w:rsidR="00D60544">
              <w:t xml:space="preserve">might be </w:t>
            </w:r>
            <w:r w:rsidR="00B84019">
              <w:t xml:space="preserve">to their implementation? </w:t>
            </w:r>
            <w:r w:rsidR="00210818">
              <w:t xml:space="preserve"> </w:t>
            </w:r>
            <w:r>
              <w:t xml:space="preserve"> </w:t>
            </w:r>
          </w:p>
          <w:p w14:paraId="266F4C64" w14:textId="02C0DF9B" w:rsidR="008A6D53" w:rsidRPr="00291616" w:rsidRDefault="008102E5" w:rsidP="009D63CC">
            <w:pPr>
              <w:pStyle w:val="NoSpacing"/>
              <w:numPr>
                <w:ilvl w:val="0"/>
                <w:numId w:val="10"/>
              </w:numPr>
              <w:spacing w:before="60"/>
              <w:ind w:left="357" w:hanging="357"/>
            </w:pPr>
            <w:r>
              <w:t xml:space="preserve">What </w:t>
            </w:r>
            <w:r w:rsidR="00B96B5D">
              <w:t xml:space="preserve">do you think </w:t>
            </w:r>
            <w:r w:rsidR="006A5137">
              <w:t>might</w:t>
            </w:r>
            <w:r w:rsidR="00B96B5D">
              <w:t xml:space="preserve"> assist</w:t>
            </w:r>
            <w:r>
              <w:t xml:space="preserve"> local authorities to act</w:t>
            </w:r>
            <w:r w:rsidR="009C60FA">
              <w:t xml:space="preserve"> </w:t>
            </w:r>
            <w:r w:rsidR="006A5137">
              <w:t xml:space="preserve">to </w:t>
            </w:r>
            <w:r w:rsidR="009C60FA">
              <w:t>help achieve net</w:t>
            </w:r>
            <w:r w:rsidR="006728D9">
              <w:t>-</w:t>
            </w:r>
            <w:r w:rsidR="009C60FA">
              <w:t>zero targets?</w:t>
            </w:r>
          </w:p>
        </w:tc>
      </w:tr>
    </w:tbl>
    <w:p w14:paraId="7A58726C" w14:textId="77777777" w:rsidR="009343FF" w:rsidRPr="00876C46" w:rsidRDefault="009343FF" w:rsidP="00C87267"/>
    <w:sectPr w:rsidR="009343FF" w:rsidRPr="00876C46" w:rsidSect="002B280F">
      <w:headerReference w:type="default" r:id="rId13"/>
      <w:pgSz w:w="11906" w:h="16838"/>
      <w:pgMar w:top="1559"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CAC25" w14:textId="77777777" w:rsidR="009C3427" w:rsidRDefault="009C3427" w:rsidP="0007383B">
      <w:pPr>
        <w:spacing w:after="0" w:line="240" w:lineRule="auto"/>
      </w:pPr>
      <w:r>
        <w:separator/>
      </w:r>
    </w:p>
  </w:endnote>
  <w:endnote w:type="continuationSeparator" w:id="0">
    <w:p w14:paraId="13D0178A" w14:textId="77777777" w:rsidR="009C3427" w:rsidRDefault="009C3427" w:rsidP="0007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3695" w14:textId="77777777" w:rsidR="009C3427" w:rsidRDefault="009C3427" w:rsidP="0007383B">
      <w:pPr>
        <w:spacing w:after="0" w:line="240" w:lineRule="auto"/>
      </w:pPr>
      <w:r>
        <w:separator/>
      </w:r>
    </w:p>
  </w:footnote>
  <w:footnote w:type="continuationSeparator" w:id="0">
    <w:p w14:paraId="2023035C" w14:textId="77777777" w:rsidR="009C3427" w:rsidRDefault="009C3427" w:rsidP="00073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6E8F" w14:textId="4808B44B" w:rsidR="0007383B" w:rsidRDefault="0007383B">
    <w:pPr>
      <w:pStyle w:val="Header"/>
    </w:pPr>
    <w:r>
      <w:rPr>
        <w:noProof/>
      </w:rPr>
      <w:drawing>
        <wp:anchor distT="0" distB="0" distL="114300" distR="114300" simplePos="0" relativeHeight="251659264" behindDoc="0" locked="0" layoutInCell="1" allowOverlap="1" wp14:anchorId="5A5763FC" wp14:editId="10F974B8">
          <wp:simplePos x="0" y="0"/>
          <wp:positionH relativeFrom="margin">
            <wp:align>right</wp:align>
          </wp:positionH>
          <wp:positionV relativeFrom="paragraph">
            <wp:posOffset>-240030</wp:posOffset>
          </wp:positionV>
          <wp:extent cx="548640" cy="707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707390"/>
                  </a:xfrm>
                  <a:prstGeom prst="rect">
                    <a:avLst/>
                  </a:prstGeom>
                  <a:noFill/>
                </pic:spPr>
              </pic:pic>
            </a:graphicData>
          </a:graphic>
        </wp:anchor>
      </w:drawing>
    </w:r>
    <w:r w:rsidRPr="0007383B">
      <w:rPr>
        <w:noProof/>
      </w:rPr>
      <w:drawing>
        <wp:anchor distT="0" distB="0" distL="114300" distR="114300" simplePos="0" relativeHeight="251658240" behindDoc="0" locked="0" layoutInCell="1" allowOverlap="1" wp14:anchorId="0DA8CE19" wp14:editId="5895A550">
          <wp:simplePos x="0" y="0"/>
          <wp:positionH relativeFrom="column">
            <wp:posOffset>-24765</wp:posOffset>
          </wp:positionH>
          <wp:positionV relativeFrom="paragraph">
            <wp:posOffset>-297180</wp:posOffset>
          </wp:positionV>
          <wp:extent cx="857250" cy="801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57250" cy="801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9EE"/>
    <w:multiLevelType w:val="hybridMultilevel"/>
    <w:tmpl w:val="975C1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151C52"/>
    <w:multiLevelType w:val="hybridMultilevel"/>
    <w:tmpl w:val="617E9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8A7D1D"/>
    <w:multiLevelType w:val="hybridMultilevel"/>
    <w:tmpl w:val="F29A8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B871BF"/>
    <w:multiLevelType w:val="hybridMultilevel"/>
    <w:tmpl w:val="177AF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1D7A62"/>
    <w:multiLevelType w:val="hybridMultilevel"/>
    <w:tmpl w:val="F914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80BC5"/>
    <w:multiLevelType w:val="hybridMultilevel"/>
    <w:tmpl w:val="76621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01739"/>
    <w:multiLevelType w:val="hybridMultilevel"/>
    <w:tmpl w:val="4ACCD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95629C0"/>
    <w:multiLevelType w:val="hybridMultilevel"/>
    <w:tmpl w:val="DF7AC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7311F"/>
    <w:multiLevelType w:val="hybridMultilevel"/>
    <w:tmpl w:val="67267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C10E02"/>
    <w:multiLevelType w:val="hybridMultilevel"/>
    <w:tmpl w:val="39109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4978745">
    <w:abstractNumId w:val="7"/>
  </w:num>
  <w:num w:numId="2" w16cid:durableId="1631671476">
    <w:abstractNumId w:val="2"/>
  </w:num>
  <w:num w:numId="3" w16cid:durableId="1728801055">
    <w:abstractNumId w:val="1"/>
  </w:num>
  <w:num w:numId="4" w16cid:durableId="1604460986">
    <w:abstractNumId w:val="3"/>
  </w:num>
  <w:num w:numId="5" w16cid:durableId="999233603">
    <w:abstractNumId w:val="0"/>
  </w:num>
  <w:num w:numId="6" w16cid:durableId="1487235162">
    <w:abstractNumId w:val="9"/>
  </w:num>
  <w:num w:numId="7" w16cid:durableId="1933858657">
    <w:abstractNumId w:val="5"/>
  </w:num>
  <w:num w:numId="8" w16cid:durableId="1169835706">
    <w:abstractNumId w:val="4"/>
  </w:num>
  <w:num w:numId="9" w16cid:durableId="1531258758">
    <w:abstractNumId w:val="6"/>
  </w:num>
  <w:num w:numId="10" w16cid:durableId="13732624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7B"/>
    <w:rsid w:val="000070F9"/>
    <w:rsid w:val="00010145"/>
    <w:rsid w:val="000157F3"/>
    <w:rsid w:val="00021304"/>
    <w:rsid w:val="000627B8"/>
    <w:rsid w:val="00070810"/>
    <w:rsid w:val="0007383B"/>
    <w:rsid w:val="000907C4"/>
    <w:rsid w:val="00094358"/>
    <w:rsid w:val="00095DF9"/>
    <w:rsid w:val="000A683A"/>
    <w:rsid w:val="000B1F49"/>
    <w:rsid w:val="000B20F0"/>
    <w:rsid w:val="000E16BF"/>
    <w:rsid w:val="000E1AC7"/>
    <w:rsid w:val="00105ECE"/>
    <w:rsid w:val="00110E2B"/>
    <w:rsid w:val="0011119D"/>
    <w:rsid w:val="00111858"/>
    <w:rsid w:val="00127333"/>
    <w:rsid w:val="00150643"/>
    <w:rsid w:val="001547D6"/>
    <w:rsid w:val="00177D70"/>
    <w:rsid w:val="001B097D"/>
    <w:rsid w:val="001B7C08"/>
    <w:rsid w:val="001F49F3"/>
    <w:rsid w:val="00207130"/>
    <w:rsid w:val="00210818"/>
    <w:rsid w:val="00214DA1"/>
    <w:rsid w:val="00215755"/>
    <w:rsid w:val="00220C74"/>
    <w:rsid w:val="00226A9D"/>
    <w:rsid w:val="002401EF"/>
    <w:rsid w:val="00241318"/>
    <w:rsid w:val="002555D9"/>
    <w:rsid w:val="00267CD8"/>
    <w:rsid w:val="00270174"/>
    <w:rsid w:val="00276704"/>
    <w:rsid w:val="00291616"/>
    <w:rsid w:val="00295A7F"/>
    <w:rsid w:val="002B280F"/>
    <w:rsid w:val="002B3187"/>
    <w:rsid w:val="002B69E6"/>
    <w:rsid w:val="002D07E1"/>
    <w:rsid w:val="002D1507"/>
    <w:rsid w:val="002D7DC0"/>
    <w:rsid w:val="003121A1"/>
    <w:rsid w:val="00312C33"/>
    <w:rsid w:val="00323EC3"/>
    <w:rsid w:val="00332500"/>
    <w:rsid w:val="00351A33"/>
    <w:rsid w:val="00356670"/>
    <w:rsid w:val="00360E79"/>
    <w:rsid w:val="0037054B"/>
    <w:rsid w:val="00371BB8"/>
    <w:rsid w:val="00375F91"/>
    <w:rsid w:val="00376189"/>
    <w:rsid w:val="003778FF"/>
    <w:rsid w:val="00396AA1"/>
    <w:rsid w:val="003C70CD"/>
    <w:rsid w:val="003E3C9F"/>
    <w:rsid w:val="003F30BB"/>
    <w:rsid w:val="00403136"/>
    <w:rsid w:val="00407640"/>
    <w:rsid w:val="00410ACE"/>
    <w:rsid w:val="00426957"/>
    <w:rsid w:val="00436029"/>
    <w:rsid w:val="00455FBF"/>
    <w:rsid w:val="00473CC5"/>
    <w:rsid w:val="00482258"/>
    <w:rsid w:val="004A799F"/>
    <w:rsid w:val="004B0DF7"/>
    <w:rsid w:val="004B15E8"/>
    <w:rsid w:val="004C0AA0"/>
    <w:rsid w:val="004D0C90"/>
    <w:rsid w:val="004D6E85"/>
    <w:rsid w:val="004D7701"/>
    <w:rsid w:val="004F2272"/>
    <w:rsid w:val="004F2988"/>
    <w:rsid w:val="00503DE4"/>
    <w:rsid w:val="00522B35"/>
    <w:rsid w:val="00563081"/>
    <w:rsid w:val="00591115"/>
    <w:rsid w:val="0059527F"/>
    <w:rsid w:val="005B0959"/>
    <w:rsid w:val="005B4C03"/>
    <w:rsid w:val="005B53F7"/>
    <w:rsid w:val="005C7F1B"/>
    <w:rsid w:val="00610109"/>
    <w:rsid w:val="0061191B"/>
    <w:rsid w:val="006137A1"/>
    <w:rsid w:val="00631919"/>
    <w:rsid w:val="006603AC"/>
    <w:rsid w:val="00660B7A"/>
    <w:rsid w:val="006728D9"/>
    <w:rsid w:val="00680D7C"/>
    <w:rsid w:val="0069102C"/>
    <w:rsid w:val="006978D9"/>
    <w:rsid w:val="006A5137"/>
    <w:rsid w:val="006E5598"/>
    <w:rsid w:val="00707821"/>
    <w:rsid w:val="00717C16"/>
    <w:rsid w:val="00721AAC"/>
    <w:rsid w:val="00721BF8"/>
    <w:rsid w:val="0072763E"/>
    <w:rsid w:val="00751B40"/>
    <w:rsid w:val="007602CE"/>
    <w:rsid w:val="00780948"/>
    <w:rsid w:val="007D462C"/>
    <w:rsid w:val="007E4A82"/>
    <w:rsid w:val="00806DA5"/>
    <w:rsid w:val="008102E5"/>
    <w:rsid w:val="00814F19"/>
    <w:rsid w:val="00815F6A"/>
    <w:rsid w:val="0081619E"/>
    <w:rsid w:val="00822BEE"/>
    <w:rsid w:val="00834991"/>
    <w:rsid w:val="00843951"/>
    <w:rsid w:val="00851176"/>
    <w:rsid w:val="00856BE0"/>
    <w:rsid w:val="00876C46"/>
    <w:rsid w:val="00885A0F"/>
    <w:rsid w:val="008A1149"/>
    <w:rsid w:val="008A2D09"/>
    <w:rsid w:val="008A6D53"/>
    <w:rsid w:val="008B3287"/>
    <w:rsid w:val="008C066D"/>
    <w:rsid w:val="008C24FD"/>
    <w:rsid w:val="008C26C9"/>
    <w:rsid w:val="008C7366"/>
    <w:rsid w:val="008D64CB"/>
    <w:rsid w:val="008E3FFD"/>
    <w:rsid w:val="0092324B"/>
    <w:rsid w:val="009343FF"/>
    <w:rsid w:val="009437A0"/>
    <w:rsid w:val="009527A5"/>
    <w:rsid w:val="00971B85"/>
    <w:rsid w:val="00975B6B"/>
    <w:rsid w:val="009A2C09"/>
    <w:rsid w:val="009A4CF8"/>
    <w:rsid w:val="009B441F"/>
    <w:rsid w:val="009B55A0"/>
    <w:rsid w:val="009C3427"/>
    <w:rsid w:val="009C60FA"/>
    <w:rsid w:val="009D63CC"/>
    <w:rsid w:val="009F0C56"/>
    <w:rsid w:val="00A466A4"/>
    <w:rsid w:val="00A87424"/>
    <w:rsid w:val="00B01867"/>
    <w:rsid w:val="00B0561C"/>
    <w:rsid w:val="00B47825"/>
    <w:rsid w:val="00B566CE"/>
    <w:rsid w:val="00B64371"/>
    <w:rsid w:val="00B64A44"/>
    <w:rsid w:val="00B76C91"/>
    <w:rsid w:val="00B84019"/>
    <w:rsid w:val="00B96B5D"/>
    <w:rsid w:val="00BA2C54"/>
    <w:rsid w:val="00BB531C"/>
    <w:rsid w:val="00BC0D77"/>
    <w:rsid w:val="00BD4B3E"/>
    <w:rsid w:val="00BF270B"/>
    <w:rsid w:val="00C05BB6"/>
    <w:rsid w:val="00C3015F"/>
    <w:rsid w:val="00C446E5"/>
    <w:rsid w:val="00C606D5"/>
    <w:rsid w:val="00C61771"/>
    <w:rsid w:val="00C65D2C"/>
    <w:rsid w:val="00C7407B"/>
    <w:rsid w:val="00C87267"/>
    <w:rsid w:val="00C93350"/>
    <w:rsid w:val="00CF2873"/>
    <w:rsid w:val="00CF73B1"/>
    <w:rsid w:val="00D31D5D"/>
    <w:rsid w:val="00D33F67"/>
    <w:rsid w:val="00D417DF"/>
    <w:rsid w:val="00D46787"/>
    <w:rsid w:val="00D545E7"/>
    <w:rsid w:val="00D60544"/>
    <w:rsid w:val="00D675E0"/>
    <w:rsid w:val="00D7410E"/>
    <w:rsid w:val="00DA05EB"/>
    <w:rsid w:val="00DA3C2C"/>
    <w:rsid w:val="00DB525C"/>
    <w:rsid w:val="00DC106D"/>
    <w:rsid w:val="00DE62CB"/>
    <w:rsid w:val="00DF10E2"/>
    <w:rsid w:val="00E07295"/>
    <w:rsid w:val="00E07684"/>
    <w:rsid w:val="00E158AC"/>
    <w:rsid w:val="00E16144"/>
    <w:rsid w:val="00E313EE"/>
    <w:rsid w:val="00E36036"/>
    <w:rsid w:val="00E45426"/>
    <w:rsid w:val="00E46DBA"/>
    <w:rsid w:val="00E63883"/>
    <w:rsid w:val="00E95781"/>
    <w:rsid w:val="00EA0741"/>
    <w:rsid w:val="00EA3837"/>
    <w:rsid w:val="00EA6E71"/>
    <w:rsid w:val="00ED075F"/>
    <w:rsid w:val="00ED0BCE"/>
    <w:rsid w:val="00ED510B"/>
    <w:rsid w:val="00EF3C12"/>
    <w:rsid w:val="00EF7643"/>
    <w:rsid w:val="00F07728"/>
    <w:rsid w:val="00F20900"/>
    <w:rsid w:val="00F6175C"/>
    <w:rsid w:val="00F65BC3"/>
    <w:rsid w:val="00F66B52"/>
    <w:rsid w:val="00F73FC4"/>
    <w:rsid w:val="00F83AEA"/>
    <w:rsid w:val="00F92951"/>
    <w:rsid w:val="00F95824"/>
    <w:rsid w:val="00FC3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496AE3"/>
  <w15:chartTrackingRefBased/>
  <w15:docId w15:val="{301E1902-1BB9-42C6-A318-3C63FBDA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07B"/>
    <w:pPr>
      <w:ind w:left="720"/>
      <w:contextualSpacing/>
    </w:pPr>
  </w:style>
  <w:style w:type="table" w:styleId="TableGrid">
    <w:name w:val="Table Grid"/>
    <w:basedOn w:val="TableNormal"/>
    <w:uiPriority w:val="39"/>
    <w:rsid w:val="00751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328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87424"/>
    <w:pPr>
      <w:spacing w:after="0" w:line="240" w:lineRule="auto"/>
    </w:pPr>
  </w:style>
  <w:style w:type="paragraph" w:styleId="BalloonText">
    <w:name w:val="Balloon Text"/>
    <w:basedOn w:val="Normal"/>
    <w:link w:val="BalloonTextChar"/>
    <w:uiPriority w:val="99"/>
    <w:semiHidden/>
    <w:unhideWhenUsed/>
    <w:rsid w:val="00A8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424"/>
    <w:rPr>
      <w:rFonts w:ascii="Segoe UI" w:hAnsi="Segoe UI" w:cs="Segoe UI"/>
      <w:sz w:val="18"/>
      <w:szCs w:val="18"/>
    </w:rPr>
  </w:style>
  <w:style w:type="character" w:styleId="Hyperlink">
    <w:name w:val="Hyperlink"/>
    <w:basedOn w:val="DefaultParagraphFont"/>
    <w:uiPriority w:val="99"/>
    <w:unhideWhenUsed/>
    <w:rsid w:val="00E07684"/>
    <w:rPr>
      <w:color w:val="0000FF"/>
      <w:u w:val="single"/>
    </w:rPr>
  </w:style>
  <w:style w:type="character" w:styleId="CommentReference">
    <w:name w:val="annotation reference"/>
    <w:basedOn w:val="DefaultParagraphFont"/>
    <w:uiPriority w:val="99"/>
    <w:semiHidden/>
    <w:unhideWhenUsed/>
    <w:rsid w:val="00094358"/>
    <w:rPr>
      <w:sz w:val="16"/>
      <w:szCs w:val="16"/>
    </w:rPr>
  </w:style>
  <w:style w:type="paragraph" w:styleId="CommentText">
    <w:name w:val="annotation text"/>
    <w:basedOn w:val="Normal"/>
    <w:link w:val="CommentTextChar"/>
    <w:uiPriority w:val="99"/>
    <w:semiHidden/>
    <w:unhideWhenUsed/>
    <w:rsid w:val="00094358"/>
    <w:pPr>
      <w:spacing w:line="240" w:lineRule="auto"/>
    </w:pPr>
    <w:rPr>
      <w:sz w:val="20"/>
      <w:szCs w:val="20"/>
    </w:rPr>
  </w:style>
  <w:style w:type="character" w:customStyle="1" w:styleId="CommentTextChar">
    <w:name w:val="Comment Text Char"/>
    <w:basedOn w:val="DefaultParagraphFont"/>
    <w:link w:val="CommentText"/>
    <w:uiPriority w:val="99"/>
    <w:semiHidden/>
    <w:rsid w:val="00094358"/>
    <w:rPr>
      <w:sz w:val="20"/>
      <w:szCs w:val="20"/>
    </w:rPr>
  </w:style>
  <w:style w:type="paragraph" w:styleId="CommentSubject">
    <w:name w:val="annotation subject"/>
    <w:basedOn w:val="CommentText"/>
    <w:next w:val="CommentText"/>
    <w:link w:val="CommentSubjectChar"/>
    <w:uiPriority w:val="99"/>
    <w:semiHidden/>
    <w:unhideWhenUsed/>
    <w:rsid w:val="00094358"/>
    <w:rPr>
      <w:b/>
      <w:bCs/>
    </w:rPr>
  </w:style>
  <w:style w:type="character" w:customStyle="1" w:styleId="CommentSubjectChar">
    <w:name w:val="Comment Subject Char"/>
    <w:basedOn w:val="CommentTextChar"/>
    <w:link w:val="CommentSubject"/>
    <w:uiPriority w:val="99"/>
    <w:semiHidden/>
    <w:rsid w:val="00094358"/>
    <w:rPr>
      <w:b/>
      <w:bCs/>
      <w:sz w:val="20"/>
      <w:szCs w:val="20"/>
    </w:rPr>
  </w:style>
  <w:style w:type="paragraph" w:styleId="Header">
    <w:name w:val="header"/>
    <w:basedOn w:val="Normal"/>
    <w:link w:val="HeaderChar"/>
    <w:uiPriority w:val="99"/>
    <w:unhideWhenUsed/>
    <w:rsid w:val="00073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83B"/>
  </w:style>
  <w:style w:type="paragraph" w:styleId="Footer">
    <w:name w:val="footer"/>
    <w:basedOn w:val="Normal"/>
    <w:link w:val="FooterChar"/>
    <w:uiPriority w:val="99"/>
    <w:unhideWhenUsed/>
    <w:rsid w:val="00073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83B"/>
  </w:style>
  <w:style w:type="character" w:styleId="UnresolvedMention">
    <w:name w:val="Unresolved Mention"/>
    <w:basedOn w:val="DefaultParagraphFont"/>
    <w:uiPriority w:val="99"/>
    <w:semiHidden/>
    <w:unhideWhenUsed/>
    <w:rsid w:val="0011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7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ies.org/resources/climate-ambition-action-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0CBEE1702AD04E9E39FB20318EB1B8" ma:contentTypeVersion="12" ma:contentTypeDescription="Create a new document." ma:contentTypeScope="" ma:versionID="3dde04893aef0aa4603c8e4450b2429d">
  <xsd:schema xmlns:xsd="http://www.w3.org/2001/XMLSchema" xmlns:xs="http://www.w3.org/2001/XMLSchema" xmlns:p="http://schemas.microsoft.com/office/2006/metadata/properties" xmlns:ns2="af2531c7-eb33-48be-9889-ee787ffa7851" xmlns:ns3="36d7926d-c934-413c-9e6d-038f771d3aae" targetNamespace="http://schemas.microsoft.com/office/2006/metadata/properties" ma:root="true" ma:fieldsID="892e6aa048a278a858bfade450ec40d4" ns2:_="" ns3:_="">
    <xsd:import namespace="af2531c7-eb33-48be-9889-ee787ffa7851"/>
    <xsd:import namespace="36d7926d-c934-413c-9e6d-038f771d3a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31c7-eb33-48be-9889-ee787ffa7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7926d-c934-413c-9e6d-038f771d3a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D750-4B8D-43E4-A5A1-8112E78185E6}">
  <ds:schemaRefs>
    <ds:schemaRef ds:uri="http://schemas.microsoft.com/sharepoint/v3/contenttype/forms"/>
  </ds:schemaRefs>
</ds:datastoreItem>
</file>

<file path=customXml/itemProps2.xml><?xml version="1.0" encoding="utf-8"?>
<ds:datastoreItem xmlns:ds="http://schemas.openxmlformats.org/officeDocument/2006/customXml" ds:itemID="{291C80BF-AD3F-4AD3-AE01-ABA1A08A6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531c7-eb33-48be-9889-ee787ffa7851"/>
    <ds:schemaRef ds:uri="36d7926d-c934-413c-9e6d-038f771d3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7336C-AD3D-42C0-AE95-EC9DC5650C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86D484-F065-4942-8C19-323D8420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Kopecky</dc:creator>
  <cp:keywords/>
  <dc:description/>
  <cp:lastModifiedBy>Danielle Kopecky</cp:lastModifiedBy>
  <cp:revision>40</cp:revision>
  <dcterms:created xsi:type="dcterms:W3CDTF">2022-04-25T11:24:00Z</dcterms:created>
  <dcterms:modified xsi:type="dcterms:W3CDTF">2022-04-26T09:01:00Z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0x010100D50CBEE1702AD04E9E39FB20318EB1B8</vt:lpwstr>
  </property>
</Properties>
</file>