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76C91" w:rsidR="008B3287" w:rsidP="00A87424" w:rsidRDefault="00D33989" w14:paraId="1C08A6AA" w14:textId="4446C949">
      <w:pPr>
        <w:jc w:val="center"/>
        <w:rPr>
          <w:b/>
          <w:bCs/>
          <w:color w:val="B84809"/>
          <w:sz w:val="28"/>
          <w:szCs w:val="28"/>
        </w:rPr>
      </w:pPr>
      <w:r>
        <w:rPr>
          <w:b/>
          <w:bCs/>
          <w:i/>
          <w:iCs/>
          <w:color w:val="B84809"/>
          <w:sz w:val="28"/>
          <w:szCs w:val="28"/>
        </w:rPr>
        <w:softHyphen/>
      </w:r>
      <w:r>
        <w:rPr>
          <w:b/>
          <w:bCs/>
          <w:i/>
          <w:iCs/>
          <w:color w:val="B84809"/>
          <w:sz w:val="28"/>
          <w:szCs w:val="28"/>
        </w:rPr>
        <w:softHyphen/>
      </w:r>
      <w:r>
        <w:rPr>
          <w:b/>
          <w:bCs/>
          <w:i/>
          <w:iCs/>
          <w:color w:val="B84809"/>
          <w:sz w:val="28"/>
          <w:szCs w:val="28"/>
        </w:rPr>
        <w:softHyphen/>
      </w:r>
      <w:r w:rsidRPr="00B76C91" w:rsidR="00F66B52">
        <w:rPr>
          <w:b/>
          <w:bCs/>
          <w:i/>
          <w:iCs/>
          <w:color w:val="B84809"/>
          <w:sz w:val="28"/>
          <w:szCs w:val="28"/>
        </w:rPr>
        <w:t>e</w:t>
      </w:r>
      <w:r w:rsidRPr="00B76C91" w:rsidR="00A87424">
        <w:rPr>
          <w:b/>
          <w:bCs/>
          <w:i/>
          <w:iCs/>
          <w:color w:val="B84809"/>
          <w:sz w:val="28"/>
          <w:szCs w:val="28"/>
        </w:rPr>
        <w:t>nvironmental S</w:t>
      </w:r>
      <w:r w:rsidRPr="00B76C91" w:rsidR="00856BE0">
        <w:rPr>
          <w:b/>
          <w:bCs/>
          <w:i/>
          <w:iCs/>
          <w:color w:val="B84809"/>
          <w:sz w:val="28"/>
          <w:szCs w:val="28"/>
        </w:rPr>
        <w:t>CIENTIST</w:t>
      </w:r>
      <w:r w:rsidRPr="00B76C91" w:rsidR="00A87424">
        <w:rPr>
          <w:b/>
          <w:bCs/>
          <w:color w:val="B84809"/>
          <w:sz w:val="28"/>
          <w:szCs w:val="28"/>
        </w:rPr>
        <w:t xml:space="preserve"> journal: </w:t>
      </w:r>
      <w:r w:rsidRPr="00B76C91" w:rsidR="00E36036">
        <w:rPr>
          <w:b/>
          <w:bCs/>
          <w:color w:val="B84809"/>
          <w:sz w:val="28"/>
          <w:szCs w:val="28"/>
        </w:rPr>
        <w:t xml:space="preserve">learning resource </w:t>
      </w:r>
      <w:r w:rsidRPr="00B76C91" w:rsidR="00F66B52">
        <w:rPr>
          <w:b/>
          <w:bCs/>
          <w:color w:val="B84809"/>
          <w:sz w:val="28"/>
          <w:szCs w:val="28"/>
        </w:rPr>
        <w:t>notes</w:t>
      </w:r>
    </w:p>
    <w:p w:rsidR="00D33F67" w:rsidP="00D33F67" w:rsidRDefault="00707821" w14:paraId="066ECA77" w14:textId="738B589B">
      <w:pPr>
        <w:pStyle w:val="NoSpacing"/>
        <w:jc w:val="both"/>
      </w:pPr>
      <w:r w:rsidRPr="00707821">
        <w:t xml:space="preserve">The purpose of </w:t>
      </w:r>
      <w:r>
        <w:t>th</w:t>
      </w:r>
      <w:r w:rsidR="00856BE0">
        <w:t>ese</w:t>
      </w:r>
      <w:r>
        <w:t xml:space="preserve"> educational resource</w:t>
      </w:r>
      <w:r w:rsidRPr="00707821">
        <w:t xml:space="preserve"> is to provide a format for informal, seminar-style discussions of the topics explored</w:t>
      </w:r>
      <w:r>
        <w:t xml:space="preserve"> in the </w:t>
      </w:r>
      <w:r w:rsidR="00D33F67">
        <w:t xml:space="preserve">latest </w:t>
      </w:r>
      <w:r w:rsidR="004B0DF7">
        <w:t xml:space="preserve">edition of the </w:t>
      </w:r>
      <w:r>
        <w:t>journal</w:t>
      </w:r>
      <w:r w:rsidR="00D33F67">
        <w:t xml:space="preserve"> of the Institution of Environmental Sciences</w:t>
      </w:r>
      <w:r>
        <w:t xml:space="preserve">. </w:t>
      </w:r>
    </w:p>
    <w:p w:rsidR="00D33F67" w:rsidP="00D33F67" w:rsidRDefault="00F83AEA" w14:paraId="2133A42D" w14:textId="44489F8A">
      <w:pPr>
        <w:pStyle w:val="NoSpacing"/>
        <w:jc w:val="both"/>
      </w:pPr>
      <w:r>
        <w:t xml:space="preserve"> </w:t>
      </w:r>
    </w:p>
    <w:p w:rsidR="00707821" w:rsidP="00D33F67" w:rsidRDefault="00707821" w14:paraId="7B0CD0BC" w14:textId="2454D477">
      <w:pPr>
        <w:pStyle w:val="NoSpacing"/>
        <w:jc w:val="both"/>
      </w:pPr>
      <w:r>
        <w:t>T</w:t>
      </w:r>
      <w:r w:rsidRPr="00707821">
        <w:t>hrough discussion of the ideas and issues presented</w:t>
      </w:r>
      <w:r w:rsidR="00D33F67">
        <w:t xml:space="preserve"> within the journal</w:t>
      </w:r>
      <w:r w:rsidRPr="00707821">
        <w:t xml:space="preserve">, </w:t>
      </w:r>
      <w:r w:rsidR="00856BE0">
        <w:t>they</w:t>
      </w:r>
      <w:r>
        <w:t xml:space="preserve"> </w:t>
      </w:r>
      <w:r w:rsidRPr="00707821">
        <w:t xml:space="preserve">aim to supplement and enhance students’ knowledge and understanding </w:t>
      </w:r>
      <w:r>
        <w:t>of</w:t>
      </w:r>
      <w:r w:rsidRPr="00707821">
        <w:t xml:space="preserve"> a broad range of environmental science issues</w:t>
      </w:r>
      <w:r>
        <w:t xml:space="preserve"> </w:t>
      </w:r>
      <w:r w:rsidR="00D33F67">
        <w:t xml:space="preserve">and </w:t>
      </w:r>
      <w:r w:rsidR="00856BE0">
        <w:t>provide</w:t>
      </w:r>
      <w:r w:rsidR="00D33F67">
        <w:t xml:space="preserve"> insights into the professional concerns of practising environmental scientists.</w:t>
      </w:r>
    </w:p>
    <w:p w:rsidR="006137A1" w:rsidP="008A1149" w:rsidRDefault="006137A1" w14:paraId="4CF98B93" w14:textId="77777777">
      <w:pPr>
        <w:pStyle w:val="NoSpacing"/>
        <w:rPr>
          <w:b/>
          <w:bCs/>
        </w:rPr>
      </w:pPr>
    </w:p>
    <w:p w:rsidRPr="00D33F67" w:rsidR="008A1149" w:rsidP="008A1149" w:rsidRDefault="008A1149" w14:paraId="2762604C" w14:textId="6567B05F">
      <w:pPr>
        <w:pStyle w:val="NoSpacing"/>
        <w:rPr>
          <w:b/>
          <w:bCs/>
        </w:rPr>
      </w:pPr>
      <w:r w:rsidRPr="00D33F67">
        <w:rPr>
          <w:b/>
          <w:bCs/>
        </w:rPr>
        <w:t>Articles in focus</w:t>
      </w:r>
      <w:r>
        <w:rPr>
          <w:b/>
          <w:bCs/>
        </w:rPr>
        <w:t xml:space="preserve"> </w:t>
      </w:r>
    </w:p>
    <w:p w:rsidRPr="00D33F67" w:rsidR="008A1149" w:rsidP="008A1149" w:rsidRDefault="008A1149" w14:paraId="0414F930" w14:textId="4F2A4A55">
      <w:pPr>
        <w:pStyle w:val="NoSpacing"/>
        <w:jc w:val="both"/>
        <w:rPr>
          <w:color w:val="000000"/>
        </w:rPr>
      </w:pPr>
      <w:r>
        <w:t xml:space="preserve">The </w:t>
      </w:r>
      <w:r w:rsidR="002D1507">
        <w:t>below</w:t>
      </w:r>
      <w:r>
        <w:t xml:space="preserve">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rsidR="00A87424" w:rsidP="00A87424" w:rsidRDefault="00A87424" w14:paraId="63BB876A" w14:textId="051F816D">
      <w:pPr>
        <w:pStyle w:val="NoSpacing"/>
      </w:pPr>
    </w:p>
    <w:tbl>
      <w:tblPr>
        <w:tblStyle w:val="TableGrid"/>
        <w:tblW w:w="9498" w:type="dxa"/>
        <w:tblInd w:w="-5" w:type="dxa"/>
        <w:tblLook w:val="04A0" w:firstRow="1" w:lastRow="0" w:firstColumn="1" w:lastColumn="0" w:noHBand="0" w:noVBand="1"/>
      </w:tblPr>
      <w:tblGrid>
        <w:gridCol w:w="1696"/>
        <w:gridCol w:w="7802"/>
      </w:tblGrid>
      <w:tr w:rsidR="00751B40" w:rsidTr="00220C74" w14:paraId="148A3346" w14:textId="77777777">
        <w:trPr>
          <w:trHeight w:val="1375"/>
        </w:trPr>
        <w:tc>
          <w:tcPr>
            <w:tcW w:w="1696" w:type="dxa"/>
            <w:shd w:val="clear" w:color="auto" w:fill="D9D9D9" w:themeFill="background1" w:themeFillShade="D9"/>
            <w:vAlign w:val="center"/>
          </w:tcPr>
          <w:p w:rsidRPr="00751B40" w:rsidR="00751B40" w:rsidP="009B441F" w:rsidRDefault="00751B40" w14:paraId="5ED7C063" w14:textId="3C36FCB6">
            <w:r w:rsidRPr="00751B40">
              <w:t>Learning outcomes</w:t>
            </w:r>
          </w:p>
        </w:tc>
        <w:tc>
          <w:tcPr>
            <w:tcW w:w="7802" w:type="dxa"/>
            <w:vAlign w:val="center"/>
          </w:tcPr>
          <w:p w:rsidR="00751B40" w:rsidP="00EA6E71" w:rsidRDefault="00751B40" w14:paraId="4C7BB426" w14:textId="28B71D3E">
            <w:pPr>
              <w:pStyle w:val="ListParagraph"/>
              <w:numPr>
                <w:ilvl w:val="0"/>
                <w:numId w:val="2"/>
              </w:numPr>
            </w:pPr>
            <w:r>
              <w:t xml:space="preserve">Understand the main ideas discussed in the publication </w:t>
            </w:r>
          </w:p>
          <w:p w:rsidR="00751B40" w:rsidP="00DA05EB" w:rsidRDefault="00751B40" w14:paraId="345234AA" w14:textId="143C41E3">
            <w:pPr>
              <w:pStyle w:val="ListParagraph"/>
              <w:numPr>
                <w:ilvl w:val="0"/>
                <w:numId w:val="2"/>
              </w:numPr>
            </w:pPr>
            <w:r>
              <w:t xml:space="preserve">Describe the main conclusions and their relevance to the </w:t>
            </w:r>
            <w:r w:rsidR="00BA2C54">
              <w:t xml:space="preserve">environmental science </w:t>
            </w:r>
            <w:r w:rsidR="00332500">
              <w:t>sector</w:t>
            </w:r>
          </w:p>
          <w:p w:rsidRPr="00751B40" w:rsidR="005C7F1B" w:rsidP="00220C74" w:rsidRDefault="00751B40" w14:paraId="15FC8BC1" w14:textId="7A3C8215">
            <w:pPr>
              <w:pStyle w:val="ListParagraph"/>
              <w:numPr>
                <w:ilvl w:val="0"/>
                <w:numId w:val="2"/>
              </w:numPr>
            </w:pPr>
            <w:r>
              <w:t>Critically reflect on the main concepts discussed</w:t>
            </w:r>
          </w:p>
        </w:tc>
      </w:tr>
      <w:tr w:rsidR="00751B40" w:rsidTr="00220C74" w14:paraId="7D814482" w14:textId="77777777">
        <w:trPr>
          <w:trHeight w:val="3110"/>
        </w:trPr>
        <w:tc>
          <w:tcPr>
            <w:tcW w:w="1696" w:type="dxa"/>
            <w:shd w:val="clear" w:color="auto" w:fill="D9D9D9" w:themeFill="background1" w:themeFillShade="D9"/>
            <w:vAlign w:val="center"/>
          </w:tcPr>
          <w:p w:rsidRPr="00751B40" w:rsidR="00751B40" w:rsidP="009B441F" w:rsidRDefault="008B3287" w14:paraId="14DDB4D6" w14:textId="7A03E922">
            <w:r>
              <w:t>Format</w:t>
            </w:r>
          </w:p>
        </w:tc>
        <w:tc>
          <w:tcPr>
            <w:tcW w:w="7802" w:type="dxa"/>
            <w:vAlign w:val="center"/>
          </w:tcPr>
          <w:p w:rsidR="006137A1" w:rsidP="006137A1" w:rsidRDefault="006137A1" w14:paraId="29AC5482" w14:textId="2EC4F823">
            <w:pPr>
              <w:pStyle w:val="NoSpacing"/>
              <w:numPr>
                <w:ilvl w:val="0"/>
                <w:numId w:val="2"/>
              </w:numPr>
            </w:pPr>
            <w:r>
              <w:t xml:space="preserve">Articles of particular interest </w:t>
            </w:r>
            <w:r w:rsidR="00455FBF">
              <w:t xml:space="preserve">are </w:t>
            </w:r>
            <w:r>
              <w:t>to be selected and shared with the group to read ahead of the discussion. Suggestions of focus articles are attached here</w:t>
            </w:r>
          </w:p>
          <w:p w:rsidR="008A1149" w:rsidP="008A1149" w:rsidRDefault="008A1149" w14:paraId="35C5A3C2" w14:textId="2E3D3BD0">
            <w:pPr>
              <w:pStyle w:val="NoSpacing"/>
              <w:numPr>
                <w:ilvl w:val="0"/>
                <w:numId w:val="2"/>
              </w:numPr>
            </w:pPr>
            <w:r>
              <w:t>Small group discussions of articles that closely relate to programme content to supplement learning</w:t>
            </w:r>
          </w:p>
          <w:p w:rsidR="008A1149" w:rsidP="00D33F67" w:rsidRDefault="00226A9D" w14:paraId="09A2CECB" w14:textId="34F176BE">
            <w:pPr>
              <w:pStyle w:val="NoSpacing"/>
              <w:numPr>
                <w:ilvl w:val="0"/>
                <w:numId w:val="2"/>
              </w:numPr>
            </w:pPr>
            <w:r>
              <w:t>D</w:t>
            </w:r>
            <w:r w:rsidR="008A1149">
              <w:t>iscussions can be led by participants or the tutor, using the ‘articles in focus’ resource to prompt debate and aid the conversation</w:t>
            </w:r>
          </w:p>
          <w:p w:rsidR="00226A9D" w:rsidP="00D33F67" w:rsidRDefault="00095DF9" w14:paraId="03A3DEA3" w14:textId="358E21E5">
            <w:pPr>
              <w:pStyle w:val="NoSpacing"/>
              <w:numPr>
                <w:ilvl w:val="0"/>
                <w:numId w:val="2"/>
              </w:numPr>
            </w:pPr>
            <w:r w:rsidRPr="00095DF9">
              <w:t>The suggested discussion points</w:t>
            </w:r>
            <w:r w:rsidR="00226A9D">
              <w:t xml:space="preserve"> and </w:t>
            </w:r>
            <w:r w:rsidRPr="00095DF9">
              <w:t>questions provided in this pack for selected articles can be used as a starting point to guide the discussion</w:t>
            </w:r>
            <w:r w:rsidR="000E16BF">
              <w:t xml:space="preserve"> </w:t>
            </w:r>
          </w:p>
          <w:p w:rsidRPr="00D33F67" w:rsidR="005C7F1B" w:rsidP="00220C74" w:rsidRDefault="00226A9D" w14:paraId="186F3642" w14:textId="3637562D">
            <w:pPr>
              <w:pStyle w:val="NoSpacing"/>
              <w:numPr>
                <w:ilvl w:val="0"/>
                <w:numId w:val="2"/>
              </w:numPr>
            </w:pPr>
            <w:r>
              <w:t>S</w:t>
            </w:r>
            <w:r w:rsidR="000E16BF">
              <w:t>tudents</w:t>
            </w:r>
            <w:r>
              <w:t xml:space="preserve"> can be encouraged to</w:t>
            </w:r>
            <w:r w:rsidR="000E16BF">
              <w:t xml:space="preserve"> choose to discuss any of the other articles within the issue</w:t>
            </w:r>
          </w:p>
        </w:tc>
      </w:tr>
    </w:tbl>
    <w:p w:rsidRPr="00EA0741" w:rsidR="00C87267" w:rsidP="00111858" w:rsidRDefault="00C87267" w14:paraId="276F7F95" w14:textId="5F495A79">
      <w:pPr>
        <w:rPr>
          <w:sz w:val="20"/>
          <w:szCs w:val="20"/>
        </w:rPr>
      </w:pPr>
    </w:p>
    <w:p w:rsidR="00B76C91" w:rsidP="00111858" w:rsidRDefault="00F80D45" w14:paraId="38511E01" w14:textId="099A45DB">
      <w:pPr>
        <w:rPr>
          <w:b/>
          <w:bCs/>
        </w:rPr>
      </w:pPr>
      <w:r w:rsidRPr="00CF2108">
        <w:rPr>
          <w:b/>
          <w:bCs/>
          <w:i/>
          <w:iCs/>
          <w:noProof/>
          <w:sz w:val="30"/>
          <w:szCs w:val="30"/>
        </w:rPr>
        <w:drawing>
          <wp:anchor distT="0" distB="0" distL="114300" distR="114300" simplePos="0" relativeHeight="251658240" behindDoc="1" locked="0" layoutInCell="1" allowOverlap="1" wp14:anchorId="497BCF2C" wp14:editId="4414E151">
            <wp:simplePos x="0" y="0"/>
            <wp:positionH relativeFrom="margin">
              <wp:align>left</wp:align>
            </wp:positionH>
            <wp:positionV relativeFrom="paragraph">
              <wp:posOffset>10160</wp:posOffset>
            </wp:positionV>
            <wp:extent cx="1067435" cy="1542415"/>
            <wp:effectExtent l="0" t="0" r="0" b="635"/>
            <wp:wrapTight wrapText="bothSides">
              <wp:wrapPolygon edited="0">
                <wp:start x="0" y="0"/>
                <wp:lineTo x="0" y="21342"/>
                <wp:lineTo x="21202" y="21342"/>
                <wp:lineTo x="212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7919" cy="1542549"/>
                    </a:xfrm>
                    <a:prstGeom prst="rect">
                      <a:avLst/>
                    </a:prstGeom>
                    <a:noFill/>
                  </pic:spPr>
                </pic:pic>
              </a:graphicData>
            </a:graphic>
            <wp14:sizeRelH relativeFrom="margin">
              <wp14:pctWidth>0</wp14:pctWidth>
            </wp14:sizeRelH>
            <wp14:sizeRelV relativeFrom="margin">
              <wp14:pctHeight>0</wp14:pctHeight>
            </wp14:sizeRelV>
          </wp:anchor>
        </w:drawing>
      </w:r>
      <w:r w:rsidRPr="00CF2108" w:rsidR="00B76C91">
        <w:rPr>
          <w:i/>
          <w:iCs/>
        </w:rPr>
        <w:t>e</w:t>
      </w:r>
      <w:r w:rsidRPr="61B65E75" w:rsidR="00111858">
        <w:rPr>
          <w:i/>
          <w:iCs/>
        </w:rPr>
        <w:t>nvironmental S</w:t>
      </w:r>
      <w:r w:rsidRPr="61B65E75" w:rsidR="00B76C91">
        <w:rPr>
          <w:i/>
          <w:iCs/>
        </w:rPr>
        <w:t>CIENTIST</w:t>
      </w:r>
      <w:r w:rsidR="00B76C91">
        <w:rPr>
          <w:b/>
          <w:bCs/>
        </w:rPr>
        <w:br/>
      </w:r>
      <w:r w:rsidR="00CF2108">
        <w:rPr>
          <w:b/>
          <w:bCs/>
        </w:rPr>
        <w:t>Environmental risk: At bursting point?</w:t>
      </w:r>
      <w:r>
        <w:rPr>
          <w:b/>
          <w:bCs/>
        </w:rPr>
        <w:t xml:space="preserve"> </w:t>
      </w:r>
      <w:r w:rsidR="00B76C91">
        <w:rPr>
          <w:b/>
          <w:bCs/>
        </w:rPr>
        <w:br/>
      </w:r>
      <w:r w:rsidRPr="00B76C91" w:rsidR="00B76C91">
        <w:t xml:space="preserve">Vol </w:t>
      </w:r>
      <w:r w:rsidR="002B3187">
        <w:t>3</w:t>
      </w:r>
      <w:r w:rsidR="00176665">
        <w:t>1</w:t>
      </w:r>
      <w:r w:rsidRPr="00B76C91" w:rsidR="00B76C91">
        <w:t xml:space="preserve">, Issue </w:t>
      </w:r>
      <w:r w:rsidR="00CF2108">
        <w:t>4</w:t>
      </w:r>
    </w:p>
    <w:p w:rsidR="00CF2108" w:rsidP="00111858" w:rsidRDefault="00FB06BD" w14:paraId="5A87A5CA" w14:textId="18A180F9">
      <w:hyperlink w:history="1" r:id="rId12">
        <w:r w:rsidRPr="00EF373A" w:rsidR="00CF2108">
          <w:rPr>
            <w:rStyle w:val="Hyperlink"/>
          </w:rPr>
          <w:t>https://www.the-ies.org/resources/environmental-risk</w:t>
        </w:r>
      </w:hyperlink>
    </w:p>
    <w:p w:rsidR="00B76C91" w:rsidP="00111858" w:rsidRDefault="00F80D45" w14:paraId="22822B39" w14:textId="165F2127">
      <w:pPr>
        <w:rPr>
          <w:b/>
          <w:bCs/>
        </w:rPr>
      </w:pPr>
      <w:r>
        <w:t xml:space="preserve"> </w:t>
      </w:r>
    </w:p>
    <w:p w:rsidR="00220C74" w:rsidP="00D33F67" w:rsidRDefault="00220C74" w14:paraId="42BB59B6" w14:textId="0138A433">
      <w:pPr>
        <w:pStyle w:val="NoSpacing"/>
        <w:rPr>
          <w:b/>
          <w:bCs/>
        </w:rPr>
      </w:pPr>
    </w:p>
    <w:p w:rsidR="00C87267" w:rsidP="00D33F67" w:rsidRDefault="00C87267" w14:paraId="74FFE568" w14:textId="623DCCAD">
      <w:pPr>
        <w:pStyle w:val="NoSpacing"/>
        <w:rPr>
          <w:b/>
          <w:bCs/>
        </w:rPr>
      </w:pPr>
    </w:p>
    <w:p w:rsidR="00C93350" w:rsidP="00D33F67" w:rsidRDefault="00C93350" w14:paraId="77E1F93D" w14:textId="77777777">
      <w:pPr>
        <w:pStyle w:val="NoSpacing"/>
        <w:rPr>
          <w:b/>
          <w:bCs/>
        </w:rPr>
      </w:pPr>
    </w:p>
    <w:p w:rsidR="00EA0741" w:rsidP="00D33F67" w:rsidRDefault="00EA0741" w14:paraId="45D3C6B2" w14:textId="4767B0D1">
      <w:pPr>
        <w:pStyle w:val="NoSpacing"/>
        <w:rPr>
          <w:b/>
          <w:bCs/>
          <w:sz w:val="30"/>
          <w:szCs w:val="30"/>
        </w:rPr>
      </w:pPr>
    </w:p>
    <w:p w:rsidR="00D92EA5" w:rsidP="00D33F67" w:rsidRDefault="00D92EA5" w14:paraId="69CC391E" w14:textId="77777777">
      <w:pPr>
        <w:pStyle w:val="NoSpacing"/>
        <w:rPr>
          <w:b/>
          <w:bCs/>
          <w:sz w:val="30"/>
          <w:szCs w:val="30"/>
        </w:rPr>
      </w:pPr>
    </w:p>
    <w:p w:rsidRPr="00EA0741" w:rsidR="00EA709D" w:rsidP="00D33F67" w:rsidRDefault="00EA709D" w14:paraId="5DA01934" w14:textId="453181BA">
      <w:pPr>
        <w:pStyle w:val="NoSpacing"/>
        <w:rPr>
          <w:b/>
          <w:bCs/>
          <w:sz w:val="30"/>
          <w:szCs w:val="30"/>
        </w:rPr>
      </w:pPr>
    </w:p>
    <w:p w:rsidRPr="00EA0741" w:rsidR="00EA0741" w:rsidP="00D33F67" w:rsidRDefault="00EA0741" w14:paraId="44116413" w14:textId="77777777">
      <w:pPr>
        <w:pStyle w:val="NoSpacing"/>
        <w:rPr>
          <w:b/>
          <w:bCs/>
          <w:sz w:val="2"/>
          <w:szCs w:val="2"/>
        </w:rPr>
      </w:pPr>
    </w:p>
    <w:tbl>
      <w:tblPr>
        <w:tblStyle w:val="TableGrid"/>
        <w:tblW w:w="9498" w:type="dxa"/>
        <w:tblInd w:w="-5" w:type="dxa"/>
        <w:tblLook w:val="04A0" w:firstRow="1" w:lastRow="0" w:firstColumn="1" w:lastColumn="0" w:noHBand="0" w:noVBand="1"/>
      </w:tblPr>
      <w:tblGrid>
        <w:gridCol w:w="1701"/>
        <w:gridCol w:w="7797"/>
      </w:tblGrid>
      <w:tr w:rsidRPr="008C066D" w:rsidR="00111858" w:rsidTr="1BF79793" w14:paraId="29A6278B" w14:textId="77777777">
        <w:trPr>
          <w:trHeight w:val="2162"/>
        </w:trPr>
        <w:tc>
          <w:tcPr>
            <w:tcW w:w="1701" w:type="dxa"/>
            <w:shd w:val="clear" w:color="auto" w:fill="D9D9D9" w:themeFill="background1" w:themeFillShade="D9"/>
            <w:tcMar/>
            <w:vAlign w:val="center"/>
          </w:tcPr>
          <w:p w:rsidRPr="00111858" w:rsidR="00111858" w:rsidP="00371733" w:rsidRDefault="00111858" w14:paraId="66A52193" w14:textId="73686353">
            <w:pPr>
              <w:rPr>
                <w:b/>
                <w:bCs/>
              </w:rPr>
            </w:pPr>
            <w:r w:rsidRPr="00111858">
              <w:rPr>
                <w:b/>
                <w:bCs/>
              </w:rPr>
              <w:lastRenderedPageBreak/>
              <w:t xml:space="preserve">Topic overview </w:t>
            </w:r>
          </w:p>
        </w:tc>
        <w:tc>
          <w:tcPr>
            <w:tcW w:w="7797" w:type="dxa"/>
            <w:tcMar/>
            <w:vAlign w:val="center"/>
          </w:tcPr>
          <w:p w:rsidRPr="00EA0741" w:rsidR="00C93350" w:rsidP="44AF54F6" w:rsidRDefault="00CF2108" w14:paraId="49B7C24F" w14:textId="296DF7F7">
            <w:pPr>
              <w:pStyle w:val="NoSpacing"/>
              <w:numPr>
                <w:ilvl w:val="0"/>
                <w:numId w:val="8"/>
              </w:numPr>
              <w:spacing w:before="60"/>
              <w:ind w:left="357" w:hanging="357"/>
            </w:pPr>
            <w:r w:rsidRPr="00CF2108">
              <w:t xml:space="preserve">By understanding risk, we can see potential futures and pathways for the society and economy we want to create for future generations. As the global community makes decisions about which approach to take to the interconnected issues of climate change, biodiversity loss and environmental pollution, we must grapple with many of these concepts lest we cross thresholds from which we cannot return. This edition of </w:t>
            </w:r>
            <w:r w:rsidRPr="00CF2108">
              <w:rPr>
                <w:i/>
                <w:iCs/>
              </w:rPr>
              <w:t xml:space="preserve">environmental SCIENTIST </w:t>
            </w:r>
            <w:r w:rsidRPr="00CF2108">
              <w:t>unites interdisciplinary voices to share understandings of risk, revealing how its consideration is also increasingly crucial beyond the science community.</w:t>
            </w:r>
          </w:p>
        </w:tc>
      </w:tr>
      <w:tr w:rsidRPr="008C066D" w:rsidR="00111858" w:rsidTr="1BF79793" w14:paraId="04339BDA" w14:textId="77777777">
        <w:trPr>
          <w:trHeight w:val="289"/>
        </w:trPr>
        <w:tc>
          <w:tcPr>
            <w:tcW w:w="9498" w:type="dxa"/>
            <w:gridSpan w:val="2"/>
            <w:shd w:val="clear" w:color="auto" w:fill="D9D9D9" w:themeFill="background1" w:themeFillShade="D9"/>
            <w:tcMar/>
          </w:tcPr>
          <w:p w:rsidRPr="00111858" w:rsidR="00111858" w:rsidP="00111858" w:rsidRDefault="00111858" w14:paraId="61B1FC94" w14:textId="0502C6AA">
            <w:pPr>
              <w:pStyle w:val="NoSpacing"/>
              <w:jc w:val="center"/>
              <w:rPr>
                <w:b/>
                <w:bCs/>
              </w:rPr>
            </w:pPr>
            <w:r w:rsidRPr="00111858">
              <w:rPr>
                <w:b/>
                <w:bCs/>
              </w:rPr>
              <w:t xml:space="preserve">Articles in </w:t>
            </w:r>
            <w:r w:rsidR="00856BE0">
              <w:rPr>
                <w:b/>
                <w:bCs/>
              </w:rPr>
              <w:t>f</w:t>
            </w:r>
            <w:r w:rsidRPr="00111858">
              <w:rPr>
                <w:b/>
                <w:bCs/>
              </w:rPr>
              <w:t>ocus</w:t>
            </w:r>
          </w:p>
        </w:tc>
      </w:tr>
      <w:tr w:rsidRPr="008C066D" w:rsidR="00C05BB6" w:rsidTr="1BF79793" w14:paraId="3F49C2ED" w14:textId="77777777">
        <w:trPr>
          <w:trHeight w:val="965"/>
        </w:trPr>
        <w:tc>
          <w:tcPr>
            <w:tcW w:w="1701" w:type="dxa"/>
            <w:vMerge w:val="restart"/>
            <w:shd w:val="clear" w:color="auto" w:fill="D9D9D9" w:themeFill="background1" w:themeFillShade="D9"/>
            <w:tcMar/>
            <w:vAlign w:val="center"/>
          </w:tcPr>
          <w:p w:rsidR="003C312F" w:rsidP="003C312F" w:rsidRDefault="00CF2108" w14:paraId="2C49E3A5" w14:textId="33953F07">
            <w:pPr>
              <w:rPr>
                <w:b/>
                <w:bCs/>
              </w:rPr>
            </w:pPr>
            <w:r>
              <w:rPr>
                <w:b/>
                <w:bCs/>
              </w:rPr>
              <w:t>Peeling apart the theory of risk</w:t>
            </w:r>
          </w:p>
          <w:p w:rsidR="003C312F" w:rsidP="003C312F" w:rsidRDefault="003C312F" w14:paraId="29AEF368" w14:textId="77777777">
            <w:pPr>
              <w:rPr>
                <w:b/>
                <w:bCs/>
              </w:rPr>
            </w:pPr>
          </w:p>
          <w:p w:rsidR="003C312F" w:rsidP="003C312F" w:rsidRDefault="00CF2108" w14:paraId="37BC94AE" w14:textId="4847A400">
            <w:pPr>
              <w:rPr>
                <w:b/>
                <w:bCs/>
              </w:rPr>
            </w:pPr>
            <w:r>
              <w:rPr>
                <w:b/>
                <w:bCs/>
              </w:rPr>
              <w:t>Joseph Lewis</w:t>
            </w:r>
            <w:r w:rsidRPr="00680D7C" w:rsidR="003C312F">
              <w:rPr>
                <w:b/>
                <w:bCs/>
              </w:rPr>
              <w:t xml:space="preserve"> </w:t>
            </w:r>
            <w:r w:rsidRPr="0007383B" w:rsidR="003C312F">
              <w:rPr>
                <w:b/>
                <w:bCs/>
              </w:rPr>
              <w:t>(p.</w:t>
            </w:r>
            <w:r>
              <w:rPr>
                <w:b/>
                <w:bCs/>
              </w:rPr>
              <w:t>10</w:t>
            </w:r>
            <w:r w:rsidRPr="0007383B" w:rsidR="003C312F">
              <w:rPr>
                <w:b/>
                <w:bCs/>
              </w:rPr>
              <w:t>)</w:t>
            </w:r>
          </w:p>
          <w:p w:rsidRPr="008C7366" w:rsidR="00C05BB6" w:rsidP="00C05BB6" w:rsidRDefault="00C05BB6" w14:paraId="1FA7FD7C" w14:textId="12732CBC">
            <w:pPr>
              <w:rPr>
                <w:b/>
                <w:bCs/>
              </w:rPr>
            </w:pPr>
          </w:p>
        </w:tc>
        <w:tc>
          <w:tcPr>
            <w:tcW w:w="7797" w:type="dxa"/>
            <w:shd w:val="clear" w:color="auto" w:fill="E7E6E6" w:themeFill="background2"/>
            <w:tcMar/>
            <w:vAlign w:val="center"/>
          </w:tcPr>
          <w:p w:rsidRPr="00631919" w:rsidR="00631919" w:rsidP="00D545E7" w:rsidRDefault="00DC1FEB" w14:paraId="0AB43B0B" w14:textId="6197D2E8">
            <w:pPr>
              <w:pStyle w:val="NoSpacing"/>
            </w:pPr>
            <w:r w:rsidRPr="00F83AEA">
              <w:rPr>
                <w:b/>
                <w:bCs/>
              </w:rPr>
              <w:t>Article overview:</w:t>
            </w:r>
            <w:r w:rsidRPr="00F83AEA">
              <w:t xml:space="preserve"> </w:t>
            </w:r>
            <w:r>
              <w:t xml:space="preserve">This article </w:t>
            </w:r>
            <w:r w:rsidRPr="00CF2108" w:rsidR="00CF2108">
              <w:t>examines the theory of risk and what it means for environmental science</w:t>
            </w:r>
            <w:r>
              <w:t>.</w:t>
            </w:r>
          </w:p>
        </w:tc>
      </w:tr>
      <w:tr w:rsidRPr="008C066D" w:rsidR="00C05BB6" w:rsidTr="1BF79793" w14:paraId="6B4F9518" w14:textId="77777777">
        <w:trPr>
          <w:trHeight w:val="2539"/>
        </w:trPr>
        <w:tc>
          <w:tcPr>
            <w:tcW w:w="1701" w:type="dxa"/>
            <w:vMerge/>
            <w:tcMar/>
          </w:tcPr>
          <w:p w:rsidRPr="0007383B" w:rsidR="00C05BB6" w:rsidP="00C05BB6" w:rsidRDefault="00C05BB6" w14:paraId="5C8545E1" w14:textId="77777777">
            <w:pPr>
              <w:rPr>
                <w:b/>
                <w:bCs/>
              </w:rPr>
            </w:pPr>
          </w:p>
        </w:tc>
        <w:tc>
          <w:tcPr>
            <w:tcW w:w="7797" w:type="dxa"/>
            <w:tcMar/>
            <w:vAlign w:val="center"/>
          </w:tcPr>
          <w:p w:rsidRPr="00540718" w:rsidR="00540718" w:rsidP="00540718" w:rsidRDefault="00540718" w14:paraId="33A3397E" w14:textId="77777777">
            <w:pPr>
              <w:pStyle w:val="NoSpacing"/>
              <w:spacing w:before="60"/>
              <w:ind w:left="1080"/>
              <w:rPr>
                <w:rFonts w:cstheme="minorHAnsi"/>
              </w:rPr>
            </w:pPr>
          </w:p>
          <w:p w:rsidRPr="00615768" w:rsidR="00615768" w:rsidP="00585CAD" w:rsidRDefault="00F1540B" w14:paraId="4EFDE4C4" w14:textId="386B15E8">
            <w:pPr>
              <w:pStyle w:val="ListParagraph"/>
              <w:numPr>
                <w:ilvl w:val="0"/>
                <w:numId w:val="8"/>
              </w:numPr>
              <w:rPr/>
            </w:pPr>
            <w:r w:rsidRPr="00585CAD" w:rsidR="00F1540B">
              <w:rPr>
                <w:shd w:val="clear" w:color="auto" w:fill="F8F8F8"/>
              </w:rPr>
              <w:t>To what extent does understanding psychology help us communicate risk</w:t>
            </w:r>
            <w:r w:rsidRPr="00585CAD" w:rsidR="65A7276A">
              <w:rPr>
                <w:shd w:val="clear" w:color="auto" w:fill="F8F8F8"/>
              </w:rPr>
              <w:t>?</w:t>
            </w:r>
          </w:p>
          <w:p w:rsidRPr="00CA5BF8" w:rsidR="00CA5BF8" w:rsidP="00585CAD" w:rsidRDefault="00CA5BF8" w14:paraId="0AE44261" w14:textId="0796E2EC">
            <w:pPr>
              <w:pStyle w:val="ListParagraph"/>
              <w:numPr>
                <w:ilvl w:val="0"/>
                <w:numId w:val="8"/>
              </w:numPr>
              <w:rPr/>
            </w:pPr>
            <w:r w:rsidRPr="00585CAD" w:rsidR="00CA5BF8">
              <w:rPr>
                <w:shd w:val="clear" w:color="auto" w:fill="F8F8F8"/>
              </w:rPr>
              <w:t xml:space="preserve">How can the Source-Pathway-Receptor model (where does the risk come from, what pathways does a pollutant take, and what </w:t>
            </w:r>
            <w:r w:rsidRPr="00585CAD" w:rsidR="00CA5BF8">
              <w:rPr>
                <w:shd w:val="clear" w:color="auto" w:fill="F8F8F8"/>
              </w:rPr>
              <w:t xml:space="preserve">possible receptors</w:t>
            </w:r>
            <w:r w:rsidRPr="00585CAD" w:rsidR="00CA5BF8">
              <w:rPr>
                <w:shd w:val="clear" w:color="auto" w:fill="F8F8F8"/>
              </w:rPr>
              <w:t xml:space="preserve"> will it reach) be applied to other real-world examples, </w:t>
            </w:r>
            <w:r w:rsidRPr="00585CAD" w:rsidR="00CA5BF8">
              <w:rPr>
                <w:shd w:val="clear" w:color="auto" w:fill="F8F8F8"/>
              </w:rPr>
              <w:t>similar to</w:t>
            </w:r>
            <w:r w:rsidRPr="00585CAD" w:rsidR="00CA5BF8">
              <w:rPr>
                <w:shd w:val="clear" w:color="auto" w:fill="F8F8F8"/>
              </w:rPr>
              <w:t xml:space="preserve"> the pollution case study discussed</w:t>
            </w:r>
            <w:r w:rsidRPr="00585CAD" w:rsidR="145ABFD0">
              <w:rPr>
                <w:shd w:val="clear" w:color="auto" w:fill="F8F8F8"/>
              </w:rPr>
              <w:t xml:space="preserve"> in the article</w:t>
            </w:r>
            <w:r w:rsidRPr="00585CAD" w:rsidR="00CA5BF8">
              <w:rPr>
                <w:shd w:val="clear" w:color="auto" w:fill="F8F8F8"/>
              </w:rPr>
              <w:t xml:space="preserve">?</w:t>
            </w:r>
          </w:p>
          <w:p w:rsidRPr="00540718" w:rsidR="00E53C4D" w:rsidP="00585CAD" w:rsidRDefault="00F1540B" w14:paraId="3B90AC67" w14:textId="1BF526AC">
            <w:pPr>
              <w:pStyle w:val="ListParagraph"/>
              <w:numPr>
                <w:ilvl w:val="0"/>
                <w:numId w:val="8"/>
              </w:numPr>
              <w:rPr/>
            </w:pPr>
            <w:r w:rsidRPr="00585CAD" w:rsidR="00F1540B">
              <w:rPr>
                <w:shd w:val="clear" w:color="auto" w:fill="F8F8F8"/>
              </w:rPr>
              <w:t>Referring to Figure 1</w:t>
            </w:r>
            <w:r w:rsidRPr="00585CAD" w:rsidR="00F1540B">
              <w:rPr>
                <w:shd w:val="clear" w:color="auto" w:fill="F8F8F8"/>
              </w:rPr>
              <w:t>,</w:t>
            </w:r>
            <w:r w:rsidRPr="00585CAD" w:rsidR="00CA5BF8">
              <w:rPr>
                <w:shd w:val="clear" w:color="auto" w:fill="F8F8F8"/>
              </w:rPr>
              <w:t xml:space="preserve"> consider </w:t>
            </w:r>
            <w:r w:rsidRPr="00585CAD" w:rsidR="00540718">
              <w:rPr>
                <w:shd w:val="clear" w:color="auto" w:fill="F8F8F8"/>
              </w:rPr>
              <w:t>climate change</w:t>
            </w:r>
            <w:r w:rsidRPr="00585CAD" w:rsidR="00CA5BF8">
              <w:rPr>
                <w:shd w:val="clear" w:color="auto" w:fill="F8F8F8"/>
              </w:rPr>
              <w:t xml:space="preserve"> (or another environmental challenge) as a starting point and generate a simple system</w:t>
            </w:r>
            <w:r w:rsidRPr="00585CAD" w:rsidR="1BAC425F">
              <w:rPr>
                <w:shd w:val="clear" w:color="auto" w:fill="F8F8F8"/>
              </w:rPr>
              <w:t xml:space="preserve">s</w:t>
            </w:r>
            <w:r w:rsidRPr="00585CAD" w:rsidR="00CA5BF8">
              <w:rPr>
                <w:shd w:val="clear" w:color="auto" w:fill="F8F8F8"/>
              </w:rPr>
              <w:t xml:space="preserve"> model that illustrates the </w:t>
            </w:r>
            <w:r w:rsidRPr="00585CAD" w:rsidR="00F1540B">
              <w:rPr>
                <w:shd w:val="clear" w:color="auto" w:fill="F8F8F8"/>
              </w:rPr>
              <w:t>risk</w:t>
            </w:r>
            <w:r w:rsidRPr="00585CAD" w:rsidR="00CA5BF8">
              <w:rPr>
                <w:shd w:val="clear" w:color="auto" w:fill="F8F8F8"/>
              </w:rPr>
              <w:t>s and</w:t>
            </w:r>
            <w:r w:rsidRPr="00585CAD" w:rsidR="00F1540B">
              <w:rPr>
                <w:shd w:val="clear" w:color="auto" w:fill="F8F8F8"/>
              </w:rPr>
              <w:t xml:space="preserve"> consequences of decisions</w:t>
            </w:r>
            <w:r w:rsidRPr="00585CAD" w:rsidR="00540718">
              <w:rPr>
                <w:shd w:val="clear" w:color="auto" w:fill="F8F8F8"/>
              </w:rPr>
              <w:t>.</w:t>
            </w:r>
            <w:r w:rsidRPr="00585CAD" w:rsidR="00F1540B">
              <w:rPr>
                <w:shd w:val="clear" w:color="auto" w:fill="F8F8F8"/>
              </w:rPr>
              <w:t xml:space="preserve"> </w:t>
            </w:r>
          </w:p>
          <w:p w:rsidRPr="00CA5BF8" w:rsidR="00540718" w:rsidP="00540718" w:rsidRDefault="00540718" w14:paraId="7FD6B7A1" w14:textId="17E15BEF">
            <w:pPr>
              <w:pStyle w:val="NoSpacing"/>
              <w:spacing w:before="60"/>
              <w:ind w:left="1080"/>
              <w:rPr>
                <w:rFonts w:cstheme="minorHAnsi"/>
              </w:rPr>
            </w:pPr>
          </w:p>
        </w:tc>
      </w:tr>
      <w:tr w:rsidRPr="008C066D" w:rsidR="00C05BB6" w:rsidTr="1BF79793" w14:paraId="4D1B21F3" w14:textId="77777777">
        <w:trPr>
          <w:trHeight w:val="987"/>
        </w:trPr>
        <w:tc>
          <w:tcPr>
            <w:tcW w:w="1701" w:type="dxa"/>
            <w:vMerge w:val="restart"/>
            <w:shd w:val="clear" w:color="auto" w:fill="D9D9D9" w:themeFill="background1" w:themeFillShade="D9"/>
            <w:tcMar/>
            <w:vAlign w:val="center"/>
          </w:tcPr>
          <w:p w:rsidRPr="00540718" w:rsidR="00274379" w:rsidP="003C312F" w:rsidRDefault="00540718" w14:paraId="7CA87C34" w14:textId="092B06A9">
            <w:pPr>
              <w:rPr>
                <w:b/>
                <w:bCs/>
              </w:rPr>
            </w:pPr>
            <w:r w:rsidRPr="00540718">
              <w:rPr>
                <w:b/>
                <w:bCs/>
              </w:rPr>
              <w:t>Are we jumping out of the frying pan and into the fire?</w:t>
            </w:r>
          </w:p>
          <w:p w:rsidR="00540718" w:rsidP="003C312F" w:rsidRDefault="00540718" w14:paraId="307C7FC6" w14:textId="77777777">
            <w:pPr>
              <w:rPr>
                <w:b/>
                <w:bCs/>
              </w:rPr>
            </w:pPr>
          </w:p>
          <w:p w:rsidRPr="00540718" w:rsidR="003C312F" w:rsidP="003C312F" w:rsidRDefault="00540718" w14:paraId="63EFB1F3" w14:textId="76C0C077">
            <w:pPr>
              <w:rPr>
                <w:b/>
                <w:bCs/>
              </w:rPr>
            </w:pPr>
            <w:r w:rsidRPr="00540718">
              <w:rPr>
                <w:b/>
                <w:bCs/>
              </w:rPr>
              <w:t>Duncan McLaren</w:t>
            </w:r>
            <w:r w:rsidRPr="00540718">
              <w:rPr>
                <w:b/>
                <w:bCs/>
              </w:rPr>
              <w:t xml:space="preserve"> </w:t>
            </w:r>
            <w:r w:rsidRPr="00540718" w:rsidR="003C312F">
              <w:rPr>
                <w:b/>
                <w:bCs/>
              </w:rPr>
              <w:t>(p.</w:t>
            </w:r>
            <w:r w:rsidRPr="00540718">
              <w:rPr>
                <w:b/>
                <w:bCs/>
              </w:rPr>
              <w:t>30</w:t>
            </w:r>
            <w:r w:rsidRPr="00540718" w:rsidR="003C312F">
              <w:rPr>
                <w:b/>
                <w:bCs/>
              </w:rPr>
              <w:t>)</w:t>
            </w:r>
          </w:p>
        </w:tc>
        <w:tc>
          <w:tcPr>
            <w:tcW w:w="7797" w:type="dxa"/>
            <w:shd w:val="clear" w:color="auto" w:fill="E7E6E6" w:themeFill="background2"/>
            <w:tcMar/>
            <w:vAlign w:val="center"/>
          </w:tcPr>
          <w:p w:rsidRPr="00DC1FEB" w:rsidR="003C312F" w:rsidP="00045E8E" w:rsidRDefault="003C312F" w14:paraId="7D8AB3A8" w14:textId="680E9541">
            <w:pPr>
              <w:pStyle w:val="NoSpacing"/>
            </w:pPr>
            <w:r w:rsidRPr="1BF79793" w:rsidR="003C312F">
              <w:rPr>
                <w:b w:val="1"/>
                <w:bCs w:val="1"/>
              </w:rPr>
              <w:t>Article overview:</w:t>
            </w:r>
            <w:r w:rsidR="003C312F">
              <w:rPr/>
              <w:t xml:space="preserve"> </w:t>
            </w:r>
            <w:r w:rsidR="003C312F">
              <w:rPr/>
              <w:t xml:space="preserve">This article </w:t>
            </w:r>
            <w:r w:rsidR="00540718">
              <w:rPr/>
              <w:t>explores the risks of incorporating solar geoengineering in the debate on climate change responses</w:t>
            </w:r>
            <w:r w:rsidR="06AC6FE2">
              <w:rPr/>
              <w:t>.</w:t>
            </w:r>
          </w:p>
        </w:tc>
      </w:tr>
      <w:tr w:rsidRPr="008C066D" w:rsidR="00C05BB6" w:rsidTr="1BF79793" w14:paraId="447BE1EC" w14:textId="77777777">
        <w:trPr>
          <w:trHeight w:val="2542"/>
        </w:trPr>
        <w:tc>
          <w:tcPr>
            <w:tcW w:w="1701" w:type="dxa"/>
            <w:vMerge/>
            <w:tcMar/>
          </w:tcPr>
          <w:p w:rsidRPr="0007383B" w:rsidR="00C05BB6" w:rsidP="00C05BB6" w:rsidRDefault="00C05BB6" w14:paraId="13FCF6F3" w14:textId="77777777">
            <w:pPr>
              <w:rPr>
                <w:b/>
                <w:bCs/>
              </w:rPr>
            </w:pPr>
          </w:p>
        </w:tc>
        <w:tc>
          <w:tcPr>
            <w:tcW w:w="7797" w:type="dxa"/>
            <w:tcMar/>
            <w:vAlign w:val="center"/>
          </w:tcPr>
          <w:p w:rsidR="00540718" w:rsidP="00540718" w:rsidRDefault="00540718" w14:paraId="14C57448" w14:textId="7454F133">
            <w:pPr>
              <w:pStyle w:val="NoSpacing"/>
              <w:numPr>
                <w:ilvl w:val="0"/>
                <w:numId w:val="13"/>
              </w:numPr>
              <w:spacing w:before="60"/>
              <w:rPr/>
            </w:pPr>
            <w:r w:rsidR="00540718">
              <w:rPr/>
              <w:t>Research one or more of the geoengineering methods discussed in the article</w:t>
            </w:r>
            <w:r w:rsidR="626CBFAB">
              <w:rPr/>
              <w:t xml:space="preserve"> and</w:t>
            </w:r>
            <w:r w:rsidR="00540718">
              <w:rPr/>
              <w:t xml:space="preserve"> consider what wider risks they pose beyond the continued risk of climate </w:t>
            </w:r>
            <w:r w:rsidR="00585CAD">
              <w:rPr/>
              <w:t>change.</w:t>
            </w:r>
          </w:p>
          <w:p w:rsidRPr="002D7DC0" w:rsidR="00540718" w:rsidP="00540718" w:rsidRDefault="00585CAD" w14:paraId="6A9A820B" w14:textId="2F42FEBE">
            <w:pPr>
              <w:pStyle w:val="NoSpacing"/>
              <w:numPr>
                <w:ilvl w:val="0"/>
                <w:numId w:val="8"/>
              </w:numPr>
              <w:spacing w:before="60"/>
              <w:rPr/>
            </w:pPr>
            <w:r w:rsidR="00585CAD">
              <w:rPr/>
              <w:t>What</w:t>
            </w:r>
            <w:r w:rsidR="00540718">
              <w:rPr/>
              <w:t xml:space="preserve"> challenges </w:t>
            </w:r>
            <w:r w:rsidR="00585CAD">
              <w:rPr/>
              <w:t xml:space="preserve">are </w:t>
            </w:r>
            <w:r w:rsidR="00540718">
              <w:rPr/>
              <w:t>associate</w:t>
            </w:r>
            <w:r w:rsidR="1E04216C">
              <w:rPr/>
              <w:t>d</w:t>
            </w:r>
            <w:r w:rsidR="00540718">
              <w:rPr/>
              <w:t xml:space="preserve"> with both evaluating, and comparing, the risks of climate change and geoengineering</w:t>
            </w:r>
            <w:r w:rsidR="0F627C9C">
              <w:rPr/>
              <w:t>?</w:t>
            </w:r>
          </w:p>
        </w:tc>
      </w:tr>
      <w:tr w:rsidRPr="008C066D" w:rsidR="004A799F" w:rsidTr="1BF79793" w14:paraId="540F96B5" w14:textId="77777777">
        <w:trPr>
          <w:trHeight w:val="983"/>
        </w:trPr>
        <w:tc>
          <w:tcPr>
            <w:tcW w:w="1701" w:type="dxa"/>
            <w:vMerge w:val="restart"/>
            <w:shd w:val="clear" w:color="auto" w:fill="D9D9D9" w:themeFill="background1" w:themeFillShade="D9"/>
            <w:tcMar/>
          </w:tcPr>
          <w:p w:rsidR="0003348E" w:rsidP="002B69E6" w:rsidRDefault="0003348E" w14:paraId="05DE5CE6" w14:textId="77777777">
            <w:pPr>
              <w:rPr>
                <w:b/>
                <w:bCs/>
              </w:rPr>
            </w:pPr>
          </w:p>
          <w:p w:rsidR="005541CB" w:rsidP="002B69E6" w:rsidRDefault="005541CB" w14:paraId="04874AD0" w14:textId="77777777">
            <w:pPr>
              <w:rPr>
                <w:b/>
                <w:bCs/>
              </w:rPr>
            </w:pPr>
          </w:p>
          <w:p w:rsidR="009D63CC" w:rsidP="002B69E6" w:rsidRDefault="00AF47BC" w14:paraId="2E990807" w14:textId="4B1BCCA9">
            <w:pPr>
              <w:rPr>
                <w:b/>
                <w:bCs/>
              </w:rPr>
            </w:pPr>
            <w:r>
              <w:rPr>
                <w:b/>
                <w:bCs/>
              </w:rPr>
              <w:t xml:space="preserve">The risks and impacts of </w:t>
            </w:r>
            <w:proofErr w:type="gramStart"/>
            <w:r>
              <w:rPr>
                <w:b/>
                <w:bCs/>
              </w:rPr>
              <w:t>deep sea</w:t>
            </w:r>
            <w:proofErr w:type="gramEnd"/>
            <w:r>
              <w:rPr>
                <w:b/>
                <w:bCs/>
              </w:rPr>
              <w:t xml:space="preserve"> mining</w:t>
            </w:r>
          </w:p>
          <w:p w:rsidRPr="006978D9" w:rsidR="002B69E6" w:rsidP="002B69E6" w:rsidRDefault="002B69E6" w14:paraId="4428042D" w14:textId="77777777">
            <w:pPr>
              <w:rPr>
                <w:b/>
                <w:bCs/>
                <w:highlight w:val="yellow"/>
              </w:rPr>
            </w:pPr>
          </w:p>
          <w:p w:rsidRPr="0007383B" w:rsidR="004A799F" w:rsidP="00CF2873" w:rsidRDefault="00AF47BC" w14:paraId="1534F4FE" w14:textId="23BE5B06">
            <w:pPr>
              <w:rPr>
                <w:b/>
                <w:bCs/>
              </w:rPr>
            </w:pPr>
            <w:r>
              <w:rPr>
                <w:b/>
                <w:bCs/>
              </w:rPr>
              <w:t>Pippa Howard &amp; Nicky Jenner</w:t>
            </w:r>
            <w:r w:rsidR="0003348E">
              <w:rPr>
                <w:b/>
                <w:bCs/>
              </w:rPr>
              <w:t xml:space="preserve"> (p.</w:t>
            </w:r>
            <w:r>
              <w:rPr>
                <w:b/>
                <w:bCs/>
              </w:rPr>
              <w:t>54</w:t>
            </w:r>
            <w:r w:rsidR="0003348E">
              <w:rPr>
                <w:b/>
                <w:bCs/>
              </w:rPr>
              <w:t>)</w:t>
            </w:r>
          </w:p>
        </w:tc>
        <w:tc>
          <w:tcPr>
            <w:tcW w:w="7797" w:type="dxa"/>
            <w:shd w:val="clear" w:color="auto" w:fill="E7E6E6" w:themeFill="background2"/>
            <w:tcMar/>
            <w:vAlign w:val="center"/>
          </w:tcPr>
          <w:p w:rsidRPr="00E46DBA" w:rsidR="000A683A" w:rsidP="002B69E6" w:rsidRDefault="00105ECE" w14:paraId="2BA78114" w14:textId="4A6BD6B6">
            <w:pPr>
              <w:pStyle w:val="NoSpacing"/>
              <w:rPr>
                <w:highlight w:val="yellow"/>
              </w:rPr>
            </w:pPr>
            <w:r w:rsidRPr="00FC33BE">
              <w:rPr>
                <w:b/>
                <w:bCs/>
              </w:rPr>
              <w:t>Article overview:</w:t>
            </w:r>
            <w:r w:rsidRPr="00FC33BE">
              <w:t xml:space="preserve"> </w:t>
            </w:r>
            <w:r w:rsidR="003956A9">
              <w:t xml:space="preserve">This article </w:t>
            </w:r>
            <w:r w:rsidRPr="00AF47BC" w:rsidR="00AF47BC">
              <w:t>examine</w:t>
            </w:r>
            <w:r w:rsidR="00AF47BC">
              <w:t>s</w:t>
            </w:r>
            <w:r w:rsidRPr="00AF47BC" w:rsidR="00AF47BC">
              <w:t xml:space="preserve"> why mining the ocean seabed should not be an option</w:t>
            </w:r>
            <w:r w:rsidR="003956A9">
              <w:t>.</w:t>
            </w:r>
          </w:p>
        </w:tc>
      </w:tr>
      <w:tr w:rsidRPr="008C066D" w:rsidR="004A799F" w:rsidTr="1BF79793" w14:paraId="16D2521A" w14:textId="77777777">
        <w:trPr>
          <w:trHeight w:val="2560"/>
        </w:trPr>
        <w:tc>
          <w:tcPr>
            <w:tcW w:w="1701" w:type="dxa"/>
            <w:vMerge/>
            <w:tcMar/>
          </w:tcPr>
          <w:p w:rsidR="004A799F" w:rsidP="00C05BB6" w:rsidRDefault="004A799F" w14:paraId="75C52026" w14:textId="77777777">
            <w:pPr>
              <w:rPr>
                <w:b/>
                <w:bCs/>
              </w:rPr>
            </w:pPr>
          </w:p>
        </w:tc>
        <w:tc>
          <w:tcPr>
            <w:tcW w:w="7797" w:type="dxa"/>
            <w:tcMar/>
            <w:vAlign w:val="center"/>
          </w:tcPr>
          <w:p w:rsidRPr="00540718" w:rsidR="00540718" w:rsidP="00540718" w:rsidRDefault="00540718" w14:paraId="1FB91EFF" w14:textId="77777777">
            <w:pPr>
              <w:pStyle w:val="NoSpacing"/>
              <w:spacing w:before="60"/>
              <w:ind w:left="357"/>
              <w:rPr>
                <w:rFonts w:ascii="Calibri" w:hAnsi="Calibri" w:eastAsia="Calibri" w:cs="Calibri"/>
              </w:rPr>
            </w:pPr>
          </w:p>
          <w:p w:rsidR="009527A5" w:rsidP="44AF54F6" w:rsidRDefault="00B77039" w14:paraId="6C781270" w14:textId="6CB7BE4B">
            <w:pPr>
              <w:pStyle w:val="NoSpacing"/>
              <w:numPr>
                <w:ilvl w:val="0"/>
                <w:numId w:val="10"/>
              </w:numPr>
              <w:spacing w:before="60"/>
              <w:ind w:left="357" w:hanging="357"/>
              <w:rPr>
                <w:rFonts w:ascii="Calibri" w:hAnsi="Calibri" w:eastAsia="Calibri" w:cs="Calibri"/>
              </w:rPr>
            </w:pPr>
            <w:r w:rsidR="00B77039">
              <w:rPr/>
              <w:t xml:space="preserve">Referring to </w:t>
            </w:r>
            <w:r w:rsidR="00B77039">
              <w:rPr/>
              <w:t>both Figure</w:t>
            </w:r>
            <w:r w:rsidR="00B77039">
              <w:rPr/>
              <w:t xml:space="preserve"> 1</w:t>
            </w:r>
            <w:r w:rsidR="00B77039">
              <w:rPr/>
              <w:t xml:space="preserve"> and Figure 2</w:t>
            </w:r>
            <w:r w:rsidR="348AA1AE">
              <w:rPr/>
              <w:t>,</w:t>
            </w:r>
            <w:r w:rsidR="00B77039">
              <w:rPr/>
              <w:t xml:space="preserve"> </w:t>
            </w:r>
            <w:r w:rsidR="00585CAD">
              <w:rPr/>
              <w:t>c</w:t>
            </w:r>
            <w:r w:rsidR="00B77039">
              <w:rPr/>
              <w:t xml:space="preserve">onsider how the risks associated with deep sea mining will </w:t>
            </w:r>
            <w:r w:rsidR="00B77039">
              <w:rPr/>
              <w:t>i</w:t>
            </w:r>
            <w:r w:rsidR="00B77039">
              <w:rPr/>
              <w:t>mpact</w:t>
            </w:r>
            <w:r w:rsidR="00B77039">
              <w:rPr/>
              <w:t xml:space="preserve"> </w:t>
            </w:r>
            <w:r w:rsidR="00B77039">
              <w:rPr/>
              <w:t>ocean carbon cycling.</w:t>
            </w:r>
          </w:p>
          <w:p w:rsidR="00585CAD" w:rsidP="00F80D45" w:rsidRDefault="00585CAD" w14:paraId="65A12D58" w14:textId="0EAFC60A">
            <w:pPr>
              <w:pStyle w:val="NoSpacing"/>
              <w:numPr>
                <w:ilvl w:val="0"/>
                <w:numId w:val="10"/>
              </w:numPr>
              <w:spacing w:before="60"/>
              <w:ind w:left="357" w:hanging="357"/>
              <w:rPr/>
            </w:pPr>
            <w:r w:rsidR="00585CAD">
              <w:rPr/>
              <w:t>Identify</w:t>
            </w:r>
            <w:r w:rsidR="00585CAD">
              <w:rPr/>
              <w:t xml:space="preserve"> other case studies where the Precautionary Principle, outlined in Box 1</w:t>
            </w:r>
            <w:r w:rsidR="00585CAD">
              <w:rPr/>
              <w:t xml:space="preserve">, has been applied to emerging industries. </w:t>
            </w:r>
          </w:p>
          <w:p w:rsidRPr="00291616" w:rsidR="00540718" w:rsidP="00585CAD" w:rsidRDefault="00BF4CFE" w14:paraId="266F4C64" w14:textId="153AFC86">
            <w:pPr>
              <w:pStyle w:val="NoSpacing"/>
              <w:numPr>
                <w:ilvl w:val="0"/>
                <w:numId w:val="10"/>
              </w:numPr>
              <w:spacing w:before="60"/>
              <w:ind w:left="357" w:hanging="357"/>
              <w:rPr/>
            </w:pPr>
            <w:r w:rsidR="00BF4CFE">
              <w:rPr/>
              <w:t>I</w:t>
            </w:r>
            <w:r w:rsidR="00B77039">
              <w:rPr/>
              <w:t xml:space="preserve">t is the mandate of the </w:t>
            </w:r>
            <w:r w:rsidR="00BF4CFE">
              <w:rPr/>
              <w:t>International Seabed Authority</w:t>
            </w:r>
            <w:r w:rsidR="00B77039">
              <w:rPr/>
              <w:t xml:space="preserve"> (ISA)</w:t>
            </w:r>
            <w:r w:rsidR="00BF4CFE">
              <w:rPr/>
              <w:t xml:space="preserve"> “…</w:t>
            </w:r>
            <w:r w:rsidR="00BF4CFE">
              <w:rPr/>
              <w:t>to ensure effective protection of the marine environment from the harmful effects of deep seabed-related activities</w:t>
            </w:r>
            <w:r w:rsidR="00B77039">
              <w:rPr/>
              <w:t>”.</w:t>
            </w:r>
            <w:r w:rsidR="00B77039">
              <w:rPr/>
              <w:t xml:space="preserve"> To what extent is its</w:t>
            </w:r>
            <w:r w:rsidR="00BF4CFE">
              <w:rPr/>
              <w:t xml:space="preserve"> work </w:t>
            </w:r>
            <w:r w:rsidR="00B77039">
              <w:rPr/>
              <w:t xml:space="preserve">around </w:t>
            </w:r>
            <w:r w:rsidR="00BF4CFE">
              <w:rPr/>
              <w:t>deep</w:t>
            </w:r>
            <w:r w:rsidR="01654B5C">
              <w:rPr/>
              <w:t xml:space="preserve"> </w:t>
            </w:r>
            <w:r w:rsidR="00BF4CFE">
              <w:rPr/>
              <w:t>sea mining a direct contradiction of this</w:t>
            </w:r>
            <w:r w:rsidR="00B77039">
              <w:rPr/>
              <w:t xml:space="preserve"> mandate, especially</w:t>
            </w:r>
            <w:r w:rsidR="00BF4CFE">
              <w:rPr/>
              <w:t xml:space="preserve"> when the impacts are not yet fully known?</w:t>
            </w:r>
          </w:p>
        </w:tc>
      </w:tr>
    </w:tbl>
    <w:p w:rsidRPr="00876C46" w:rsidR="009343FF" w:rsidP="00C87267" w:rsidRDefault="009343FF" w14:paraId="7A58726C" w14:textId="32DCBE33"/>
    <w:sectPr w:rsidRPr="00876C46" w:rsidR="009343FF" w:rsidSect="002B280F">
      <w:headerReference w:type="default" r:id="rId13"/>
      <w:pgSz w:w="11906" w:h="16838" w:orient="portrait"/>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0200" w:rsidP="0007383B" w:rsidRDefault="00CD0200" w14:paraId="01B479C8" w14:textId="77777777">
      <w:pPr>
        <w:spacing w:after="0" w:line="240" w:lineRule="auto"/>
      </w:pPr>
      <w:r>
        <w:separator/>
      </w:r>
    </w:p>
  </w:endnote>
  <w:endnote w:type="continuationSeparator" w:id="0">
    <w:p w:rsidR="00CD0200" w:rsidP="0007383B" w:rsidRDefault="00CD0200" w14:paraId="295EEFD2" w14:textId="77777777">
      <w:pPr>
        <w:spacing w:after="0" w:line="240" w:lineRule="auto"/>
      </w:pPr>
      <w:r>
        <w:continuationSeparator/>
      </w:r>
    </w:p>
  </w:endnote>
  <w:endnote w:type="continuationNotice" w:id="1">
    <w:p w:rsidR="00CD0200" w:rsidRDefault="00CD0200" w14:paraId="70B5BF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0200" w:rsidP="0007383B" w:rsidRDefault="00CD0200" w14:paraId="66D4B703" w14:textId="77777777">
      <w:pPr>
        <w:spacing w:after="0" w:line="240" w:lineRule="auto"/>
      </w:pPr>
      <w:r>
        <w:separator/>
      </w:r>
    </w:p>
  </w:footnote>
  <w:footnote w:type="continuationSeparator" w:id="0">
    <w:p w:rsidR="00CD0200" w:rsidP="0007383B" w:rsidRDefault="00CD0200" w14:paraId="3D00D4E2" w14:textId="77777777">
      <w:pPr>
        <w:spacing w:after="0" w:line="240" w:lineRule="auto"/>
      </w:pPr>
      <w:r>
        <w:continuationSeparator/>
      </w:r>
    </w:p>
  </w:footnote>
  <w:footnote w:type="continuationNotice" w:id="1">
    <w:p w:rsidR="00CD0200" w:rsidRDefault="00CD0200" w14:paraId="1587005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383B" w:rsidRDefault="00B77039" w14:paraId="4A876E8F" w14:textId="0A43713B">
    <w:pPr>
      <w:pStyle w:val="Header"/>
    </w:pPr>
    <w:r>
      <w:rPr>
        <w:noProof/>
      </w:rPr>
      <w:drawing>
        <wp:anchor distT="0" distB="0" distL="114300" distR="114300" simplePos="0" relativeHeight="251659265" behindDoc="1" locked="0" layoutInCell="1" allowOverlap="1" wp14:anchorId="59771490" wp14:editId="75180EEC">
          <wp:simplePos x="0" y="0"/>
          <wp:positionH relativeFrom="column">
            <wp:posOffset>-3175</wp:posOffset>
          </wp:positionH>
          <wp:positionV relativeFrom="paragraph">
            <wp:posOffset>-240665</wp:posOffset>
          </wp:positionV>
          <wp:extent cx="760095" cy="709930"/>
          <wp:effectExtent l="0" t="0" r="0" b="0"/>
          <wp:wrapTight wrapText="bothSides">
            <wp:wrapPolygon edited="0">
              <wp:start x="8120" y="0"/>
              <wp:lineTo x="4872" y="2898"/>
              <wp:lineTo x="1624" y="7535"/>
              <wp:lineTo x="1624" y="12751"/>
              <wp:lineTo x="5955" y="19127"/>
              <wp:lineTo x="7579" y="20286"/>
              <wp:lineTo x="14075" y="20286"/>
              <wp:lineTo x="15699" y="19127"/>
              <wp:lineTo x="19489" y="12751"/>
              <wp:lineTo x="19489" y="6955"/>
              <wp:lineTo x="17323" y="2898"/>
              <wp:lineTo x="13534" y="0"/>
              <wp:lineTo x="8120" y="0"/>
            </wp:wrapPolygon>
          </wp:wrapTight>
          <wp:docPr id="1970250820" name="Picture 1970250820" descr="A picture containing text, accessory, vector graphics,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46884" name="Picture 1" descr="A picture containing text, accessory, vector graphics, outdoor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V="1">
                    <a:off x="0" y="0"/>
                    <a:ext cx="760095" cy="709930"/>
                  </a:xfrm>
                  <a:prstGeom prst="rect">
                    <a:avLst/>
                  </a:prstGeom>
                </pic:spPr>
              </pic:pic>
            </a:graphicData>
          </a:graphic>
          <wp14:sizeRelH relativeFrom="page">
            <wp14:pctWidth>0</wp14:pctWidth>
          </wp14:sizeRelH>
          <wp14:sizeRelV relativeFrom="page">
            <wp14:pctHeight>0</wp14:pctHeight>
          </wp14:sizeRelV>
        </wp:anchor>
      </w:drawing>
    </w:r>
    <w:r w:rsidR="0007383B">
      <w:rPr>
        <w:noProof/>
      </w:rPr>
      <w:drawing>
        <wp:anchor distT="0" distB="0" distL="114300" distR="114300" simplePos="0" relativeHeight="251658241" behindDoc="0" locked="0" layoutInCell="1" allowOverlap="1" wp14:anchorId="5A5763FC" wp14:editId="26DF18C4">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9EE"/>
    <w:multiLevelType w:val="hybridMultilevel"/>
    <w:tmpl w:val="975C13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0151C52"/>
    <w:multiLevelType w:val="hybridMultilevel"/>
    <w:tmpl w:val="617E91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58A7D1D"/>
    <w:multiLevelType w:val="hybridMultilevel"/>
    <w:tmpl w:val="F29A8F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16A2592"/>
    <w:multiLevelType w:val="hybridMultilevel"/>
    <w:tmpl w:val="3572B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B277D0"/>
    <w:multiLevelType w:val="hybridMultilevel"/>
    <w:tmpl w:val="6E9CE1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B871BF"/>
    <w:multiLevelType w:val="hybridMultilevel"/>
    <w:tmpl w:val="177AFF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41D7A62"/>
    <w:multiLevelType w:val="hybridMultilevel"/>
    <w:tmpl w:val="2B26C2A6"/>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5780BC5"/>
    <w:multiLevelType w:val="hybridMultilevel"/>
    <w:tmpl w:val="76621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B01739"/>
    <w:multiLevelType w:val="hybridMultilevel"/>
    <w:tmpl w:val="4ACCD4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41CF58E6"/>
    <w:multiLevelType w:val="multilevel"/>
    <w:tmpl w:val="57AA8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95629C0"/>
    <w:multiLevelType w:val="hybridMultilevel"/>
    <w:tmpl w:val="DF7AC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867311F"/>
    <w:multiLevelType w:val="hybridMultilevel"/>
    <w:tmpl w:val="672675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9C10E02"/>
    <w:multiLevelType w:val="hybridMultilevel"/>
    <w:tmpl w:val="391096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774978745">
    <w:abstractNumId w:val="10"/>
  </w:num>
  <w:num w:numId="2" w16cid:durableId="1631671476">
    <w:abstractNumId w:val="2"/>
  </w:num>
  <w:num w:numId="3" w16cid:durableId="1728801055">
    <w:abstractNumId w:val="1"/>
  </w:num>
  <w:num w:numId="4" w16cid:durableId="1604460986">
    <w:abstractNumId w:val="5"/>
  </w:num>
  <w:num w:numId="5" w16cid:durableId="999233603">
    <w:abstractNumId w:val="0"/>
  </w:num>
  <w:num w:numId="6" w16cid:durableId="1487235162">
    <w:abstractNumId w:val="12"/>
  </w:num>
  <w:num w:numId="7" w16cid:durableId="1933858657">
    <w:abstractNumId w:val="7"/>
  </w:num>
  <w:num w:numId="8" w16cid:durableId="1169835706">
    <w:abstractNumId w:val="6"/>
  </w:num>
  <w:num w:numId="9" w16cid:durableId="1531258758">
    <w:abstractNumId w:val="8"/>
  </w:num>
  <w:num w:numId="10" w16cid:durableId="1373262442">
    <w:abstractNumId w:val="11"/>
  </w:num>
  <w:num w:numId="11" w16cid:durableId="157423477">
    <w:abstractNumId w:val="9"/>
  </w:num>
  <w:num w:numId="12" w16cid:durableId="199244127">
    <w:abstractNumId w:val="3"/>
  </w:num>
  <w:num w:numId="13" w16cid:durableId="132793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B"/>
    <w:rsid w:val="000027D3"/>
    <w:rsid w:val="00004E43"/>
    <w:rsid w:val="000070F9"/>
    <w:rsid w:val="00010145"/>
    <w:rsid w:val="00010471"/>
    <w:rsid w:val="000157F3"/>
    <w:rsid w:val="00021304"/>
    <w:rsid w:val="0003348E"/>
    <w:rsid w:val="00034255"/>
    <w:rsid w:val="00035DC4"/>
    <w:rsid w:val="00045E8E"/>
    <w:rsid w:val="00061FE7"/>
    <w:rsid w:val="000627B8"/>
    <w:rsid w:val="00070810"/>
    <w:rsid w:val="0007383B"/>
    <w:rsid w:val="000907C4"/>
    <w:rsid w:val="00094358"/>
    <w:rsid w:val="00095DF9"/>
    <w:rsid w:val="000A683A"/>
    <w:rsid w:val="000B1F49"/>
    <w:rsid w:val="000B20F0"/>
    <w:rsid w:val="000B5A17"/>
    <w:rsid w:val="000C30FC"/>
    <w:rsid w:val="000C75EF"/>
    <w:rsid w:val="000E16BF"/>
    <w:rsid w:val="000E16C4"/>
    <w:rsid w:val="000E1AC7"/>
    <w:rsid w:val="000E2C10"/>
    <w:rsid w:val="000E3FA7"/>
    <w:rsid w:val="001015AD"/>
    <w:rsid w:val="00105ECE"/>
    <w:rsid w:val="00110E2B"/>
    <w:rsid w:val="0011119D"/>
    <w:rsid w:val="00111858"/>
    <w:rsid w:val="00127333"/>
    <w:rsid w:val="00150643"/>
    <w:rsid w:val="00153F30"/>
    <w:rsid w:val="001547D6"/>
    <w:rsid w:val="001728D6"/>
    <w:rsid w:val="00176665"/>
    <w:rsid w:val="00177D70"/>
    <w:rsid w:val="001962F5"/>
    <w:rsid w:val="001A3243"/>
    <w:rsid w:val="001B097D"/>
    <w:rsid w:val="001B7C08"/>
    <w:rsid w:val="001F49F3"/>
    <w:rsid w:val="00207130"/>
    <w:rsid w:val="00210818"/>
    <w:rsid w:val="00214DA1"/>
    <w:rsid w:val="00215755"/>
    <w:rsid w:val="00217E23"/>
    <w:rsid w:val="00220C74"/>
    <w:rsid w:val="00226A9D"/>
    <w:rsid w:val="002401EF"/>
    <w:rsid w:val="00241318"/>
    <w:rsid w:val="002461E6"/>
    <w:rsid w:val="002555D9"/>
    <w:rsid w:val="00256F03"/>
    <w:rsid w:val="00262FD9"/>
    <w:rsid w:val="00267CD8"/>
    <w:rsid w:val="00270174"/>
    <w:rsid w:val="00274379"/>
    <w:rsid w:val="00276704"/>
    <w:rsid w:val="00283708"/>
    <w:rsid w:val="00291616"/>
    <w:rsid w:val="00295A7F"/>
    <w:rsid w:val="00297A43"/>
    <w:rsid w:val="002A2F95"/>
    <w:rsid w:val="002A3499"/>
    <w:rsid w:val="002A4617"/>
    <w:rsid w:val="002B280F"/>
    <w:rsid w:val="002B3187"/>
    <w:rsid w:val="002B69E6"/>
    <w:rsid w:val="002D07E1"/>
    <w:rsid w:val="002D1507"/>
    <w:rsid w:val="002D7DC0"/>
    <w:rsid w:val="002E6594"/>
    <w:rsid w:val="002F0B82"/>
    <w:rsid w:val="003121A1"/>
    <w:rsid w:val="00312C33"/>
    <w:rsid w:val="00313A9D"/>
    <w:rsid w:val="00323EC3"/>
    <w:rsid w:val="00332500"/>
    <w:rsid w:val="00351A33"/>
    <w:rsid w:val="00356670"/>
    <w:rsid w:val="00360E79"/>
    <w:rsid w:val="00367C7E"/>
    <w:rsid w:val="0037054B"/>
    <w:rsid w:val="00371733"/>
    <w:rsid w:val="00371BB8"/>
    <w:rsid w:val="00375F91"/>
    <w:rsid w:val="00376189"/>
    <w:rsid w:val="003778FF"/>
    <w:rsid w:val="00382B29"/>
    <w:rsid w:val="003956A9"/>
    <w:rsid w:val="00396AA1"/>
    <w:rsid w:val="003C312F"/>
    <w:rsid w:val="003C629C"/>
    <w:rsid w:val="003C6432"/>
    <w:rsid w:val="003C70CD"/>
    <w:rsid w:val="003D2D83"/>
    <w:rsid w:val="003E0ACA"/>
    <w:rsid w:val="003E1506"/>
    <w:rsid w:val="003E3C9F"/>
    <w:rsid w:val="003F30BB"/>
    <w:rsid w:val="00403136"/>
    <w:rsid w:val="00406606"/>
    <w:rsid w:val="00407640"/>
    <w:rsid w:val="00410ACE"/>
    <w:rsid w:val="00426957"/>
    <w:rsid w:val="00436029"/>
    <w:rsid w:val="00436A03"/>
    <w:rsid w:val="00455FBF"/>
    <w:rsid w:val="0046108E"/>
    <w:rsid w:val="00461462"/>
    <w:rsid w:val="00472662"/>
    <w:rsid w:val="00473CC5"/>
    <w:rsid w:val="00482258"/>
    <w:rsid w:val="0048507E"/>
    <w:rsid w:val="004A46E1"/>
    <w:rsid w:val="004A799F"/>
    <w:rsid w:val="004B0DF7"/>
    <w:rsid w:val="004B15E8"/>
    <w:rsid w:val="004C0AA0"/>
    <w:rsid w:val="004D0C90"/>
    <w:rsid w:val="004D6E85"/>
    <w:rsid w:val="004D7701"/>
    <w:rsid w:val="004F043B"/>
    <w:rsid w:val="004F2272"/>
    <w:rsid w:val="004F2988"/>
    <w:rsid w:val="004F3C96"/>
    <w:rsid w:val="004F45BE"/>
    <w:rsid w:val="00503DE4"/>
    <w:rsid w:val="00520419"/>
    <w:rsid w:val="0052184C"/>
    <w:rsid w:val="00522B35"/>
    <w:rsid w:val="00530290"/>
    <w:rsid w:val="005403B7"/>
    <w:rsid w:val="00540718"/>
    <w:rsid w:val="00545665"/>
    <w:rsid w:val="005501DA"/>
    <w:rsid w:val="005541CB"/>
    <w:rsid w:val="00560E47"/>
    <w:rsid w:val="00563081"/>
    <w:rsid w:val="00585CAD"/>
    <w:rsid w:val="00591115"/>
    <w:rsid w:val="00592917"/>
    <w:rsid w:val="0059527F"/>
    <w:rsid w:val="005B0959"/>
    <w:rsid w:val="005B138F"/>
    <w:rsid w:val="005B3EFD"/>
    <w:rsid w:val="005B4C03"/>
    <w:rsid w:val="005B53F7"/>
    <w:rsid w:val="005C5342"/>
    <w:rsid w:val="005C784F"/>
    <w:rsid w:val="005C7F1B"/>
    <w:rsid w:val="005F0B35"/>
    <w:rsid w:val="005F1EE5"/>
    <w:rsid w:val="00610109"/>
    <w:rsid w:val="0061191B"/>
    <w:rsid w:val="006137A1"/>
    <w:rsid w:val="00615768"/>
    <w:rsid w:val="00631919"/>
    <w:rsid w:val="006463DD"/>
    <w:rsid w:val="006603AC"/>
    <w:rsid w:val="00660B7A"/>
    <w:rsid w:val="006728D9"/>
    <w:rsid w:val="00680D7C"/>
    <w:rsid w:val="0068657C"/>
    <w:rsid w:val="0069102C"/>
    <w:rsid w:val="006978D9"/>
    <w:rsid w:val="006A5137"/>
    <w:rsid w:val="006A70CA"/>
    <w:rsid w:val="006D6736"/>
    <w:rsid w:val="006E5598"/>
    <w:rsid w:val="006E61FD"/>
    <w:rsid w:val="00707821"/>
    <w:rsid w:val="00710BFC"/>
    <w:rsid w:val="00717C16"/>
    <w:rsid w:val="0072194B"/>
    <w:rsid w:val="00721AAC"/>
    <w:rsid w:val="00721BF8"/>
    <w:rsid w:val="0072763E"/>
    <w:rsid w:val="00751B40"/>
    <w:rsid w:val="007602CE"/>
    <w:rsid w:val="00771C8A"/>
    <w:rsid w:val="00780948"/>
    <w:rsid w:val="00792F30"/>
    <w:rsid w:val="007D462C"/>
    <w:rsid w:val="007D646F"/>
    <w:rsid w:val="007E4A42"/>
    <w:rsid w:val="007E4A82"/>
    <w:rsid w:val="007F4C5D"/>
    <w:rsid w:val="007F7A4A"/>
    <w:rsid w:val="00806DA5"/>
    <w:rsid w:val="008102E5"/>
    <w:rsid w:val="00814AA6"/>
    <w:rsid w:val="00814F19"/>
    <w:rsid w:val="00815F6A"/>
    <w:rsid w:val="0081619E"/>
    <w:rsid w:val="00822BEE"/>
    <w:rsid w:val="00834991"/>
    <w:rsid w:val="008429A7"/>
    <w:rsid w:val="00843951"/>
    <w:rsid w:val="00851176"/>
    <w:rsid w:val="00856B1B"/>
    <w:rsid w:val="00856BE0"/>
    <w:rsid w:val="00862B50"/>
    <w:rsid w:val="00864768"/>
    <w:rsid w:val="00875A13"/>
    <w:rsid w:val="00876C46"/>
    <w:rsid w:val="00885A0F"/>
    <w:rsid w:val="008A1149"/>
    <w:rsid w:val="008A2D09"/>
    <w:rsid w:val="008A6D53"/>
    <w:rsid w:val="008B3287"/>
    <w:rsid w:val="008C066D"/>
    <w:rsid w:val="008C24FD"/>
    <w:rsid w:val="008C26C9"/>
    <w:rsid w:val="008C7366"/>
    <w:rsid w:val="008D0AC1"/>
    <w:rsid w:val="008D1852"/>
    <w:rsid w:val="008D64CB"/>
    <w:rsid w:val="008E3FFD"/>
    <w:rsid w:val="008F042E"/>
    <w:rsid w:val="008F5C50"/>
    <w:rsid w:val="008F6579"/>
    <w:rsid w:val="0092324B"/>
    <w:rsid w:val="0092393C"/>
    <w:rsid w:val="00933458"/>
    <w:rsid w:val="009343FF"/>
    <w:rsid w:val="009437A0"/>
    <w:rsid w:val="00944044"/>
    <w:rsid w:val="009527A5"/>
    <w:rsid w:val="009573A8"/>
    <w:rsid w:val="00971B85"/>
    <w:rsid w:val="00975B6B"/>
    <w:rsid w:val="00981E2C"/>
    <w:rsid w:val="009A2C09"/>
    <w:rsid w:val="009A4CF8"/>
    <w:rsid w:val="009B441F"/>
    <w:rsid w:val="009B55A0"/>
    <w:rsid w:val="009B6210"/>
    <w:rsid w:val="009C3427"/>
    <w:rsid w:val="009C5C55"/>
    <w:rsid w:val="009C60FA"/>
    <w:rsid w:val="009D63CC"/>
    <w:rsid w:val="009F0C56"/>
    <w:rsid w:val="009F1754"/>
    <w:rsid w:val="009F44F2"/>
    <w:rsid w:val="00A053AB"/>
    <w:rsid w:val="00A058DF"/>
    <w:rsid w:val="00A10780"/>
    <w:rsid w:val="00A126B3"/>
    <w:rsid w:val="00A3006D"/>
    <w:rsid w:val="00A466A4"/>
    <w:rsid w:val="00A81BF7"/>
    <w:rsid w:val="00A82500"/>
    <w:rsid w:val="00A87424"/>
    <w:rsid w:val="00AB776B"/>
    <w:rsid w:val="00AC6883"/>
    <w:rsid w:val="00AD43F1"/>
    <w:rsid w:val="00AD5137"/>
    <w:rsid w:val="00AD7C8F"/>
    <w:rsid w:val="00AF47BC"/>
    <w:rsid w:val="00B0004D"/>
    <w:rsid w:val="00B01867"/>
    <w:rsid w:val="00B04E5B"/>
    <w:rsid w:val="00B0561C"/>
    <w:rsid w:val="00B43FDF"/>
    <w:rsid w:val="00B47825"/>
    <w:rsid w:val="00B566CE"/>
    <w:rsid w:val="00B6004F"/>
    <w:rsid w:val="00B64371"/>
    <w:rsid w:val="00B64A44"/>
    <w:rsid w:val="00B76C91"/>
    <w:rsid w:val="00B77039"/>
    <w:rsid w:val="00B84019"/>
    <w:rsid w:val="00B90190"/>
    <w:rsid w:val="00B96B5D"/>
    <w:rsid w:val="00BA0E05"/>
    <w:rsid w:val="00BA12C3"/>
    <w:rsid w:val="00BA2C54"/>
    <w:rsid w:val="00BB37FD"/>
    <w:rsid w:val="00BB3C54"/>
    <w:rsid w:val="00BB531C"/>
    <w:rsid w:val="00BC00A3"/>
    <w:rsid w:val="00BC0952"/>
    <w:rsid w:val="00BC0D77"/>
    <w:rsid w:val="00BC2E43"/>
    <w:rsid w:val="00BD4B3E"/>
    <w:rsid w:val="00BF270B"/>
    <w:rsid w:val="00BF4CFE"/>
    <w:rsid w:val="00C05BB6"/>
    <w:rsid w:val="00C124B1"/>
    <w:rsid w:val="00C23912"/>
    <w:rsid w:val="00C3015F"/>
    <w:rsid w:val="00C3366A"/>
    <w:rsid w:val="00C33714"/>
    <w:rsid w:val="00C37708"/>
    <w:rsid w:val="00C446E5"/>
    <w:rsid w:val="00C606D5"/>
    <w:rsid w:val="00C61771"/>
    <w:rsid w:val="00C65D2C"/>
    <w:rsid w:val="00C7407B"/>
    <w:rsid w:val="00C82F2E"/>
    <w:rsid w:val="00C84249"/>
    <w:rsid w:val="00C85B4E"/>
    <w:rsid w:val="00C87267"/>
    <w:rsid w:val="00C92A30"/>
    <w:rsid w:val="00C93350"/>
    <w:rsid w:val="00C96133"/>
    <w:rsid w:val="00CA5BF8"/>
    <w:rsid w:val="00CB349A"/>
    <w:rsid w:val="00CC19F4"/>
    <w:rsid w:val="00CD0200"/>
    <w:rsid w:val="00CD0DC4"/>
    <w:rsid w:val="00CE0576"/>
    <w:rsid w:val="00CF2108"/>
    <w:rsid w:val="00CF2873"/>
    <w:rsid w:val="00CF73B1"/>
    <w:rsid w:val="00D31D5D"/>
    <w:rsid w:val="00D33989"/>
    <w:rsid w:val="00D33F67"/>
    <w:rsid w:val="00D34F8A"/>
    <w:rsid w:val="00D37240"/>
    <w:rsid w:val="00D417DF"/>
    <w:rsid w:val="00D46787"/>
    <w:rsid w:val="00D545E7"/>
    <w:rsid w:val="00D60544"/>
    <w:rsid w:val="00D675E0"/>
    <w:rsid w:val="00D7410E"/>
    <w:rsid w:val="00D92EA5"/>
    <w:rsid w:val="00DA05EB"/>
    <w:rsid w:val="00DA2D05"/>
    <w:rsid w:val="00DA3C2C"/>
    <w:rsid w:val="00DA5ACD"/>
    <w:rsid w:val="00DB525C"/>
    <w:rsid w:val="00DC106D"/>
    <w:rsid w:val="00DC1FEB"/>
    <w:rsid w:val="00DC7D72"/>
    <w:rsid w:val="00DD63B6"/>
    <w:rsid w:val="00DE2419"/>
    <w:rsid w:val="00DE62CB"/>
    <w:rsid w:val="00DF017D"/>
    <w:rsid w:val="00DF10E2"/>
    <w:rsid w:val="00E03E92"/>
    <w:rsid w:val="00E051FA"/>
    <w:rsid w:val="00E07295"/>
    <w:rsid w:val="00E07684"/>
    <w:rsid w:val="00E158AC"/>
    <w:rsid w:val="00E16144"/>
    <w:rsid w:val="00E218C1"/>
    <w:rsid w:val="00E26E3E"/>
    <w:rsid w:val="00E313EE"/>
    <w:rsid w:val="00E36036"/>
    <w:rsid w:val="00E44571"/>
    <w:rsid w:val="00E45426"/>
    <w:rsid w:val="00E46DBA"/>
    <w:rsid w:val="00E53C4D"/>
    <w:rsid w:val="00E6303C"/>
    <w:rsid w:val="00E63883"/>
    <w:rsid w:val="00E851E6"/>
    <w:rsid w:val="00E95781"/>
    <w:rsid w:val="00E960C8"/>
    <w:rsid w:val="00E96670"/>
    <w:rsid w:val="00EA0741"/>
    <w:rsid w:val="00EA1540"/>
    <w:rsid w:val="00EA3837"/>
    <w:rsid w:val="00EA6E71"/>
    <w:rsid w:val="00EA709D"/>
    <w:rsid w:val="00EB27F8"/>
    <w:rsid w:val="00EB6BF4"/>
    <w:rsid w:val="00ED075F"/>
    <w:rsid w:val="00ED0BCE"/>
    <w:rsid w:val="00ED3BF9"/>
    <w:rsid w:val="00ED510B"/>
    <w:rsid w:val="00EE456A"/>
    <w:rsid w:val="00EE4AC9"/>
    <w:rsid w:val="00EF1C20"/>
    <w:rsid w:val="00EF3C12"/>
    <w:rsid w:val="00EF7643"/>
    <w:rsid w:val="00F05DD4"/>
    <w:rsid w:val="00F07728"/>
    <w:rsid w:val="00F11000"/>
    <w:rsid w:val="00F14EE4"/>
    <w:rsid w:val="00F1540B"/>
    <w:rsid w:val="00F20900"/>
    <w:rsid w:val="00F232D0"/>
    <w:rsid w:val="00F44CB5"/>
    <w:rsid w:val="00F57B78"/>
    <w:rsid w:val="00F6175C"/>
    <w:rsid w:val="00F64A04"/>
    <w:rsid w:val="00F65BC3"/>
    <w:rsid w:val="00F66B52"/>
    <w:rsid w:val="00F7285B"/>
    <w:rsid w:val="00F73FC4"/>
    <w:rsid w:val="00F80D45"/>
    <w:rsid w:val="00F83AEA"/>
    <w:rsid w:val="00F92951"/>
    <w:rsid w:val="00F95824"/>
    <w:rsid w:val="00FC33BE"/>
    <w:rsid w:val="01136E48"/>
    <w:rsid w:val="01654B5C"/>
    <w:rsid w:val="026FB6B2"/>
    <w:rsid w:val="03ADBB46"/>
    <w:rsid w:val="03FC184E"/>
    <w:rsid w:val="052CCCDD"/>
    <w:rsid w:val="061B002A"/>
    <w:rsid w:val="06AC6FE2"/>
    <w:rsid w:val="0B0F80EF"/>
    <w:rsid w:val="0C54CAC1"/>
    <w:rsid w:val="0F627C9C"/>
    <w:rsid w:val="145ABFD0"/>
    <w:rsid w:val="16F8EE4A"/>
    <w:rsid w:val="17036D58"/>
    <w:rsid w:val="1ADD8BB3"/>
    <w:rsid w:val="1BAC425F"/>
    <w:rsid w:val="1BF79793"/>
    <w:rsid w:val="1E04216C"/>
    <w:rsid w:val="21CDCED7"/>
    <w:rsid w:val="21FD2142"/>
    <w:rsid w:val="237DE20F"/>
    <w:rsid w:val="29240042"/>
    <w:rsid w:val="2B6FCB97"/>
    <w:rsid w:val="30F2A05B"/>
    <w:rsid w:val="348AA1AE"/>
    <w:rsid w:val="4325DBCF"/>
    <w:rsid w:val="43EF7657"/>
    <w:rsid w:val="44AF54F6"/>
    <w:rsid w:val="4B932539"/>
    <w:rsid w:val="4E4E871F"/>
    <w:rsid w:val="4FB3E8D5"/>
    <w:rsid w:val="51995BF1"/>
    <w:rsid w:val="53D9B238"/>
    <w:rsid w:val="55D56CD9"/>
    <w:rsid w:val="5BE12868"/>
    <w:rsid w:val="61B65E75"/>
    <w:rsid w:val="626CBFAB"/>
    <w:rsid w:val="62F3251D"/>
    <w:rsid w:val="653831DC"/>
    <w:rsid w:val="65A7276A"/>
    <w:rsid w:val="6600F5DC"/>
    <w:rsid w:val="68F95BD5"/>
    <w:rsid w:val="6AB27466"/>
    <w:rsid w:val="753F8347"/>
    <w:rsid w:val="789002CD"/>
    <w:rsid w:val="78E42206"/>
    <w:rsid w:val="7D980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6AE3"/>
  <w15:chartTrackingRefBased/>
  <w15:docId w15:val="{EC016E7F-0F7B-44E9-A0C1-7C7427AC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7407B"/>
    <w:pPr>
      <w:ind w:left="720"/>
      <w:contextualSpacing/>
    </w:pPr>
  </w:style>
  <w:style w:type="table" w:styleId="TableGrid">
    <w:name w:val="Table Grid"/>
    <w:basedOn w:val="TableNormal"/>
    <w:uiPriority w:val="39"/>
    <w:rsid w:val="00751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B32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7424"/>
    <w:pPr>
      <w:spacing w:after="0" w:line="240" w:lineRule="auto"/>
    </w:pPr>
  </w:style>
  <w:style w:type="paragraph" w:styleId="BalloonText">
    <w:name w:val="Balloon Text"/>
    <w:basedOn w:val="Normal"/>
    <w:link w:val="BalloonTextChar"/>
    <w:uiPriority w:val="99"/>
    <w:semiHidden/>
    <w:unhideWhenUsed/>
    <w:rsid w:val="00A8742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7424"/>
    <w:rPr>
      <w:rFonts w:ascii="Segoe UI" w:hAnsi="Segoe UI" w:cs="Segoe UI"/>
      <w:sz w:val="18"/>
      <w:szCs w:val="18"/>
    </w:rPr>
  </w:style>
  <w:style w:type="character" w:styleId="Hyperlink">
    <w:name w:val="Hyperlink"/>
    <w:basedOn w:val="DefaultParagraphFont"/>
    <w:uiPriority w:val="99"/>
    <w:unhideWhenUsed/>
    <w:rsid w:val="00E07684"/>
    <w:rPr>
      <w:color w:val="0000FF"/>
      <w:u w:val="single"/>
    </w:rPr>
  </w:style>
  <w:style w:type="character" w:styleId="CommentReference">
    <w:name w:val="annotation reference"/>
    <w:basedOn w:val="DefaultParagraphFont"/>
    <w:uiPriority w:val="99"/>
    <w:semiHidden/>
    <w:unhideWhenUsed/>
    <w:rsid w:val="00094358"/>
    <w:rPr>
      <w:sz w:val="16"/>
      <w:szCs w:val="16"/>
    </w:rPr>
  </w:style>
  <w:style w:type="paragraph" w:styleId="CommentText">
    <w:name w:val="annotation text"/>
    <w:basedOn w:val="Normal"/>
    <w:link w:val="CommentTextChar"/>
    <w:uiPriority w:val="99"/>
    <w:semiHidden/>
    <w:unhideWhenUsed/>
    <w:rsid w:val="00094358"/>
    <w:pPr>
      <w:spacing w:line="240" w:lineRule="auto"/>
    </w:pPr>
    <w:rPr>
      <w:sz w:val="20"/>
      <w:szCs w:val="20"/>
    </w:rPr>
  </w:style>
  <w:style w:type="character" w:styleId="CommentTextChar" w:customStyle="1">
    <w:name w:val="Comment Text Char"/>
    <w:basedOn w:val="DefaultParagraphFont"/>
    <w:link w:val="CommentText"/>
    <w:uiPriority w:val="99"/>
    <w:semiHidden/>
    <w:rsid w:val="00094358"/>
    <w:rPr>
      <w:sz w:val="20"/>
      <w:szCs w:val="20"/>
    </w:rPr>
  </w:style>
  <w:style w:type="paragraph" w:styleId="CommentSubject">
    <w:name w:val="annotation subject"/>
    <w:basedOn w:val="CommentText"/>
    <w:next w:val="CommentText"/>
    <w:link w:val="CommentSubjectChar"/>
    <w:uiPriority w:val="99"/>
    <w:semiHidden/>
    <w:unhideWhenUsed/>
    <w:rsid w:val="00094358"/>
    <w:rPr>
      <w:b/>
      <w:bCs/>
    </w:rPr>
  </w:style>
  <w:style w:type="character" w:styleId="CommentSubjectChar" w:customStyle="1">
    <w:name w:val="Comment Subject Char"/>
    <w:basedOn w:val="CommentTextChar"/>
    <w:link w:val="CommentSubject"/>
    <w:uiPriority w:val="99"/>
    <w:semiHidden/>
    <w:rsid w:val="00094358"/>
    <w:rPr>
      <w:b/>
      <w:bCs/>
      <w:sz w:val="20"/>
      <w:szCs w:val="20"/>
    </w:rPr>
  </w:style>
  <w:style w:type="paragraph" w:styleId="Header">
    <w:name w:val="header"/>
    <w:basedOn w:val="Normal"/>
    <w:link w:val="HeaderChar"/>
    <w:uiPriority w:val="99"/>
    <w:unhideWhenUsed/>
    <w:rsid w:val="000738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383B"/>
  </w:style>
  <w:style w:type="paragraph" w:styleId="Footer">
    <w:name w:val="footer"/>
    <w:basedOn w:val="Normal"/>
    <w:link w:val="FooterChar"/>
    <w:uiPriority w:val="99"/>
    <w:unhideWhenUsed/>
    <w:rsid w:val="000738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383B"/>
  </w:style>
  <w:style w:type="character" w:styleId="UnresolvedMention">
    <w:name w:val="Unresolved Mention"/>
    <w:basedOn w:val="DefaultParagraphFont"/>
    <w:uiPriority w:val="99"/>
    <w:semiHidden/>
    <w:unhideWhenUsed/>
    <w:rsid w:val="00111858"/>
    <w:rPr>
      <w:color w:val="605E5C"/>
      <w:shd w:val="clear" w:color="auto" w:fill="E1DFDD"/>
    </w:rPr>
  </w:style>
  <w:style w:type="character" w:styleId="Emphasis">
    <w:name w:val="Emphasis"/>
    <w:basedOn w:val="DefaultParagraphFont"/>
    <w:uiPriority w:val="20"/>
    <w:qFormat/>
    <w:rsid w:val="00F80D45"/>
    <w:rPr>
      <w:i/>
      <w:iCs/>
    </w:rPr>
  </w:style>
  <w:style w:type="character" w:styleId="c-mrkdwntab" w:customStyle="1">
    <w:name w:val="c-mrkdwn__tab"/>
    <w:basedOn w:val="DefaultParagraphFont"/>
    <w:rsid w:val="00F1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587">
      <w:bodyDiv w:val="1"/>
      <w:marLeft w:val="0"/>
      <w:marRight w:val="0"/>
      <w:marTop w:val="0"/>
      <w:marBottom w:val="0"/>
      <w:divBdr>
        <w:top w:val="none" w:sz="0" w:space="0" w:color="auto"/>
        <w:left w:val="none" w:sz="0" w:space="0" w:color="auto"/>
        <w:bottom w:val="none" w:sz="0" w:space="0" w:color="auto"/>
        <w:right w:val="none" w:sz="0" w:space="0" w:color="auto"/>
      </w:divBdr>
    </w:div>
    <w:div w:id="17457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the-ies.org/resources/environmental-ris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6" ma:contentTypeDescription="Create a new document." ma:contentTypeScope="" ma:versionID="1193a5584079c5831d67f49451d959ed">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99c92de2dd4c4d254e19e3f89244536b"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845a0-c36c-4b7a-8df5-0d2d7e2599f0}" ma:internalName="TaxCatchAll" ma:showField="CatchAllData" ma:web="36d7926d-c934-413c-9e6d-038f771d3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d7926d-c934-413c-9e6d-038f771d3aae" xsi:nil="true"/>
    <lcf76f155ced4ddcb4097134ff3c332f xmlns="af2531c7-eb33-48be-9889-ee787ffa7851">
      <Terms xmlns="http://schemas.microsoft.com/office/infopath/2007/PartnerControls"/>
    </lcf76f155ced4ddcb4097134ff3c332f>
    <SharedWithUsers xmlns="36d7926d-c934-413c-9e6d-038f771d3aae">
      <UserInfo>
        <DisplayName/>
        <AccountId xsi:nil="true"/>
        <AccountType/>
      </UserInfo>
    </SharedWithUsers>
    <MediaLengthInSeconds xmlns="af2531c7-eb33-48be-9889-ee787ffa7851" xsi:nil="true"/>
  </documentManagement>
</p:properties>
</file>

<file path=customXml/itemProps1.xml><?xml version="1.0" encoding="utf-8"?>
<ds:datastoreItem xmlns:ds="http://schemas.openxmlformats.org/officeDocument/2006/customXml" ds:itemID="{C9266694-8319-4347-8420-367D4BDDA58A}"/>
</file>

<file path=customXml/itemProps2.xml><?xml version="1.0" encoding="utf-8"?>
<ds:datastoreItem xmlns:ds="http://schemas.openxmlformats.org/officeDocument/2006/customXml" ds:itemID="{9186D484-F065-4942-8C19-323D842025D5}">
  <ds:schemaRefs>
    <ds:schemaRef ds:uri="http://schemas.openxmlformats.org/officeDocument/2006/bibliography"/>
  </ds:schemaRefs>
</ds:datastoreItem>
</file>

<file path=customXml/itemProps3.xml><?xml version="1.0" encoding="utf-8"?>
<ds:datastoreItem xmlns:ds="http://schemas.openxmlformats.org/officeDocument/2006/customXml" ds:itemID="{485ED750-4B8D-43E4-A5A1-8112E78185E6}">
  <ds:schemaRefs>
    <ds:schemaRef ds:uri="http://schemas.microsoft.com/sharepoint/v3/contenttype/forms"/>
  </ds:schemaRefs>
</ds:datastoreItem>
</file>

<file path=customXml/itemProps4.xml><?xml version="1.0" encoding="utf-8"?>
<ds:datastoreItem xmlns:ds="http://schemas.openxmlformats.org/officeDocument/2006/customXml" ds:itemID="{30C7336C-AD3D-42C0-AE95-EC9DC5650C78}">
  <ds:schemaRefs>
    <ds:schemaRef ds:uri="http://schemas.microsoft.com/office/2006/metadata/properties"/>
    <ds:schemaRef ds:uri="http://schemas.microsoft.com/office/infopath/2007/PartnerControls"/>
    <ds:schemaRef ds:uri="af2531c7-eb33-48be-9889-ee787ffa7851"/>
    <ds:schemaRef ds:uri="36d7926d-c934-413c-9e6d-038f771d3aa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Finbow</dc:creator>
  <keywords/>
  <dc:description/>
  <lastModifiedBy>Rebecca Finbow</lastModifiedBy>
  <revision>4</revision>
  <dcterms:created xsi:type="dcterms:W3CDTF">2023-04-19T12:05:00.0000000Z</dcterms:created>
  <dcterms:modified xsi:type="dcterms:W3CDTF">2023-04-19T13:54:46.7092699Z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y fmtid="{D5CDD505-2E9C-101B-9397-08002B2CF9AE}" pid="3" name="MediaServiceImageTags">
    <vt:lpwstr/>
  </property>
  <property fmtid="{D5CDD505-2E9C-101B-9397-08002B2CF9AE}" pid="4" name="Order">
    <vt:r8>202400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ies>
</file>