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A6AA" w14:textId="73AAD2BA" w:rsidR="008B3287" w:rsidRPr="00B76C91" w:rsidRDefault="00F66B52" w:rsidP="00A87424">
      <w:pPr>
        <w:jc w:val="center"/>
        <w:rPr>
          <w:b/>
          <w:bCs/>
          <w:color w:val="B84809"/>
          <w:sz w:val="28"/>
          <w:szCs w:val="28"/>
        </w:rPr>
      </w:pPr>
      <w:r w:rsidRPr="00B76C91">
        <w:rPr>
          <w:b/>
          <w:bCs/>
          <w:i/>
          <w:iCs/>
          <w:color w:val="B84809"/>
          <w:sz w:val="28"/>
          <w:szCs w:val="28"/>
        </w:rPr>
        <w:t>e</w:t>
      </w:r>
      <w:r w:rsidR="00A87424" w:rsidRPr="00B76C91">
        <w:rPr>
          <w:b/>
          <w:bCs/>
          <w:i/>
          <w:iCs/>
          <w:color w:val="B84809"/>
          <w:sz w:val="28"/>
          <w:szCs w:val="28"/>
        </w:rPr>
        <w:t>nvironmental S</w:t>
      </w:r>
      <w:r w:rsidR="00856BE0" w:rsidRPr="00B76C91">
        <w:rPr>
          <w:b/>
          <w:bCs/>
          <w:i/>
          <w:iCs/>
          <w:color w:val="B84809"/>
          <w:sz w:val="28"/>
          <w:szCs w:val="28"/>
        </w:rPr>
        <w:t>CIENTIST</w:t>
      </w:r>
      <w:r w:rsidR="00A87424" w:rsidRPr="00B76C91">
        <w:rPr>
          <w:b/>
          <w:bCs/>
          <w:color w:val="B84809"/>
          <w:sz w:val="28"/>
          <w:szCs w:val="28"/>
        </w:rPr>
        <w:t xml:space="preserve"> journal: </w:t>
      </w:r>
      <w:r w:rsidR="00E36036" w:rsidRPr="00B76C91">
        <w:rPr>
          <w:b/>
          <w:bCs/>
          <w:color w:val="B84809"/>
          <w:sz w:val="28"/>
          <w:szCs w:val="28"/>
        </w:rPr>
        <w:t xml:space="preserve">learning resource </w:t>
      </w:r>
      <w:r w:rsidRPr="00B76C91">
        <w:rPr>
          <w:b/>
          <w:bCs/>
          <w:color w:val="B84809"/>
          <w:sz w:val="28"/>
          <w:szCs w:val="28"/>
        </w:rPr>
        <w:t>notes</w:t>
      </w:r>
    </w:p>
    <w:p w14:paraId="066ECA77" w14:textId="592A1BA3" w:rsidR="00D33F67" w:rsidRDefault="00707821" w:rsidP="00D33F67">
      <w:pPr>
        <w:pStyle w:val="NoSpacing"/>
        <w:jc w:val="both"/>
      </w:pPr>
      <w:r w:rsidRPr="00707821">
        <w:t xml:space="preserve">The purpose of </w:t>
      </w:r>
      <w:r>
        <w:t>th</w:t>
      </w:r>
      <w:r w:rsidR="00856BE0">
        <w:t>ese</w:t>
      </w:r>
      <w:r>
        <w:t xml:space="preserve"> educational resource</w:t>
      </w:r>
      <w:r w:rsidRPr="00707821">
        <w:t xml:space="preserve"> </w:t>
      </w:r>
      <w:r w:rsidR="00D33F67">
        <w:t>notes</w:t>
      </w:r>
      <w:r w:rsidR="00A87424">
        <w:t xml:space="preserve"> </w:t>
      </w:r>
      <w:r w:rsidRPr="00707821">
        <w:t>is to provide a format for informal, seminar-style discussions of the topics explored</w:t>
      </w:r>
      <w:r>
        <w:t xml:space="preserve"> in the </w:t>
      </w:r>
      <w:r w:rsidR="00D33F67">
        <w:t xml:space="preserve">latest </w:t>
      </w:r>
      <w:r w:rsidR="004B0DF7">
        <w:t xml:space="preserve">edition of the </w:t>
      </w:r>
      <w:r>
        <w:t>journal</w:t>
      </w:r>
      <w:r w:rsidR="00D33F67">
        <w:t xml:space="preserve"> of the Institution of Environmental Sciences</w:t>
      </w:r>
      <w:r>
        <w:t xml:space="preserve">. </w:t>
      </w:r>
    </w:p>
    <w:p w14:paraId="2133A42D" w14:textId="44489F8A" w:rsidR="00D33F67" w:rsidRDefault="00F83AEA" w:rsidP="00D33F67">
      <w:pPr>
        <w:pStyle w:val="NoSpacing"/>
        <w:jc w:val="both"/>
      </w:pPr>
      <w:r>
        <w:t xml:space="preserve"> </w:t>
      </w:r>
    </w:p>
    <w:p w14:paraId="7B0CD0BC" w14:textId="2454D477" w:rsidR="00707821" w:rsidRDefault="00707821" w:rsidP="00D33F67">
      <w:pPr>
        <w:pStyle w:val="NoSpacing"/>
        <w:jc w:val="both"/>
      </w:pPr>
      <w:r>
        <w:t>T</w:t>
      </w:r>
      <w:r w:rsidRPr="00707821">
        <w:t>hrough discussion of the ideas and issues presented</w:t>
      </w:r>
      <w:r w:rsidR="00D33F67">
        <w:t xml:space="preserve"> within the journal</w:t>
      </w:r>
      <w:r w:rsidRPr="00707821">
        <w:t xml:space="preserve">, </w:t>
      </w:r>
      <w:r w:rsidR="00856BE0">
        <w:t>they</w:t>
      </w:r>
      <w:r>
        <w:t xml:space="preserve"> </w:t>
      </w:r>
      <w:r w:rsidRPr="00707821">
        <w:t xml:space="preserve">aim to supplement and enhance students’ knowledge and understanding </w:t>
      </w:r>
      <w:r>
        <w:t>of</w:t>
      </w:r>
      <w:r w:rsidRPr="00707821">
        <w:t xml:space="preserve"> a broad range of environmental science issues</w:t>
      </w:r>
      <w:r>
        <w:t xml:space="preserve"> </w:t>
      </w:r>
      <w:r w:rsidR="00D33F67">
        <w:t xml:space="preserve">and </w:t>
      </w:r>
      <w:r w:rsidR="00856BE0">
        <w:t>provide</w:t>
      </w:r>
      <w:r w:rsidR="00D33F67">
        <w:t xml:space="preserve"> insights into the professional concerns of practising environmental scientists.</w:t>
      </w:r>
    </w:p>
    <w:p w14:paraId="4CF98B93" w14:textId="77777777" w:rsidR="006137A1" w:rsidRDefault="006137A1" w:rsidP="008A1149">
      <w:pPr>
        <w:pStyle w:val="NoSpacing"/>
        <w:rPr>
          <w:b/>
          <w:bCs/>
        </w:rPr>
      </w:pPr>
    </w:p>
    <w:p w14:paraId="2762604C" w14:textId="6567B05F" w:rsidR="008A1149" w:rsidRPr="00D33F67" w:rsidRDefault="008A1149" w:rsidP="008A1149">
      <w:pPr>
        <w:pStyle w:val="NoSpacing"/>
        <w:rPr>
          <w:b/>
          <w:bCs/>
        </w:rPr>
      </w:pPr>
      <w:r w:rsidRPr="00D33F67">
        <w:rPr>
          <w:b/>
          <w:bCs/>
        </w:rPr>
        <w:t>Articles in focus</w:t>
      </w:r>
      <w:r>
        <w:rPr>
          <w:b/>
          <w:bCs/>
        </w:rPr>
        <w:t xml:space="preserve"> </w:t>
      </w:r>
    </w:p>
    <w:p w14:paraId="0414F930" w14:textId="77777777" w:rsidR="008A1149" w:rsidRPr="00D33F67" w:rsidRDefault="008A1149" w:rsidP="008A1149">
      <w:pPr>
        <w:pStyle w:val="NoSpacing"/>
        <w:jc w:val="both"/>
        <w:rPr>
          <w:color w:val="000000"/>
        </w:rPr>
      </w:pPr>
      <w:r>
        <w:t>The following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w:t>
      </w:r>
      <w:r>
        <w:t>/points</w:t>
      </w:r>
      <w:r w:rsidRPr="00876C46">
        <w:rPr>
          <w:rFonts w:ascii="Calibri" w:hAnsi="Calibri"/>
          <w:color w:val="000000"/>
        </w:rPr>
        <w:t xml:space="preserve">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14:paraId="63BB876A" w14:textId="384FE011" w:rsidR="00A87424" w:rsidRDefault="00A87424" w:rsidP="00A87424">
      <w:pPr>
        <w:pStyle w:val="NoSpacing"/>
      </w:pPr>
    </w:p>
    <w:tbl>
      <w:tblPr>
        <w:tblStyle w:val="TableGrid"/>
        <w:tblW w:w="9498" w:type="dxa"/>
        <w:tblInd w:w="-5" w:type="dxa"/>
        <w:tblLook w:val="04A0" w:firstRow="1" w:lastRow="0" w:firstColumn="1" w:lastColumn="0" w:noHBand="0" w:noVBand="1"/>
      </w:tblPr>
      <w:tblGrid>
        <w:gridCol w:w="1696"/>
        <w:gridCol w:w="7802"/>
      </w:tblGrid>
      <w:tr w:rsidR="00751B40" w14:paraId="148A3346" w14:textId="77777777" w:rsidTr="00220C74">
        <w:trPr>
          <w:trHeight w:val="1375"/>
        </w:trPr>
        <w:tc>
          <w:tcPr>
            <w:tcW w:w="1696" w:type="dxa"/>
            <w:shd w:val="clear" w:color="auto" w:fill="D9D9D9" w:themeFill="background1" w:themeFillShade="D9"/>
            <w:vAlign w:val="center"/>
          </w:tcPr>
          <w:p w14:paraId="5ED7C063" w14:textId="1C4C0E94" w:rsidR="00751B40" w:rsidRPr="00751B40" w:rsidRDefault="00751B40" w:rsidP="009B441F">
            <w:r w:rsidRPr="00751B40">
              <w:t>Learning outcomes</w:t>
            </w:r>
          </w:p>
        </w:tc>
        <w:tc>
          <w:tcPr>
            <w:tcW w:w="7802" w:type="dxa"/>
            <w:vAlign w:val="center"/>
          </w:tcPr>
          <w:p w14:paraId="4C7BB426" w14:textId="28B71D3E" w:rsidR="00751B40" w:rsidRDefault="00751B40" w:rsidP="00EA6E71">
            <w:pPr>
              <w:pStyle w:val="ListParagraph"/>
              <w:numPr>
                <w:ilvl w:val="0"/>
                <w:numId w:val="2"/>
              </w:numPr>
            </w:pPr>
            <w:r>
              <w:t xml:space="preserve">Understand the main ideas discussed in the publication </w:t>
            </w:r>
          </w:p>
          <w:p w14:paraId="345234AA" w14:textId="143C41E3" w:rsidR="00751B40" w:rsidRDefault="00751B40" w:rsidP="00DA05EB">
            <w:pPr>
              <w:pStyle w:val="ListParagraph"/>
              <w:numPr>
                <w:ilvl w:val="0"/>
                <w:numId w:val="2"/>
              </w:numPr>
            </w:pPr>
            <w:r>
              <w:t xml:space="preserve">Describe the main conclusions and their relevance to the </w:t>
            </w:r>
            <w:r w:rsidR="00BA2C54">
              <w:t xml:space="preserve">environmental science </w:t>
            </w:r>
            <w:r w:rsidR="00332500">
              <w:t>sector</w:t>
            </w:r>
          </w:p>
          <w:p w14:paraId="15FC8BC1" w14:textId="7A3C8215" w:rsidR="005C7F1B" w:rsidRPr="00751B40" w:rsidRDefault="00751B40" w:rsidP="00220C74">
            <w:pPr>
              <w:pStyle w:val="ListParagraph"/>
              <w:numPr>
                <w:ilvl w:val="0"/>
                <w:numId w:val="2"/>
              </w:numPr>
            </w:pPr>
            <w:r>
              <w:t>Critically reflect on the main concepts discussed</w:t>
            </w:r>
          </w:p>
        </w:tc>
      </w:tr>
      <w:tr w:rsidR="00751B40" w14:paraId="7D814482" w14:textId="77777777" w:rsidTr="00220C74">
        <w:trPr>
          <w:trHeight w:val="3110"/>
        </w:trPr>
        <w:tc>
          <w:tcPr>
            <w:tcW w:w="1696" w:type="dxa"/>
            <w:shd w:val="clear" w:color="auto" w:fill="D9D9D9" w:themeFill="background1" w:themeFillShade="D9"/>
            <w:vAlign w:val="center"/>
          </w:tcPr>
          <w:p w14:paraId="14DDB4D6" w14:textId="7D35C2DA" w:rsidR="00751B40" w:rsidRPr="00751B40" w:rsidRDefault="008B3287" w:rsidP="009B441F">
            <w:r>
              <w:t>Format</w:t>
            </w:r>
          </w:p>
        </w:tc>
        <w:tc>
          <w:tcPr>
            <w:tcW w:w="7802" w:type="dxa"/>
            <w:vAlign w:val="center"/>
          </w:tcPr>
          <w:p w14:paraId="29AC5482" w14:textId="2EC4F823" w:rsidR="006137A1" w:rsidRDefault="006137A1" w:rsidP="006137A1">
            <w:pPr>
              <w:pStyle w:val="NoSpacing"/>
              <w:numPr>
                <w:ilvl w:val="0"/>
                <w:numId w:val="2"/>
              </w:numPr>
            </w:pPr>
            <w:r>
              <w:t xml:space="preserve">Articles of particular interest </w:t>
            </w:r>
            <w:r w:rsidR="00455FBF">
              <w:t xml:space="preserve">are </w:t>
            </w:r>
            <w:r>
              <w:t>to be selected and shared with the group to read ahead of the discussion. Suggestions of focus articles are attached here</w:t>
            </w:r>
          </w:p>
          <w:p w14:paraId="35C5A3C2" w14:textId="2E3D3BD0" w:rsidR="008A1149" w:rsidRDefault="008A1149" w:rsidP="008A1149">
            <w:pPr>
              <w:pStyle w:val="NoSpacing"/>
              <w:numPr>
                <w:ilvl w:val="0"/>
                <w:numId w:val="2"/>
              </w:numPr>
            </w:pPr>
            <w:r>
              <w:t>Small group discussions of articles that closely relate to programme content to supplement learning</w:t>
            </w:r>
          </w:p>
          <w:p w14:paraId="09A2CECB" w14:textId="34F176BE" w:rsidR="008A1149" w:rsidRDefault="00226A9D" w:rsidP="00D33F67">
            <w:pPr>
              <w:pStyle w:val="NoSpacing"/>
              <w:numPr>
                <w:ilvl w:val="0"/>
                <w:numId w:val="2"/>
              </w:numPr>
            </w:pPr>
            <w:r>
              <w:t>D</w:t>
            </w:r>
            <w:r w:rsidR="008A1149">
              <w:t>iscussions can be led by participants or the tutor, using the ‘articles in focus’ resource to prompt debate and aid the conversation</w:t>
            </w:r>
          </w:p>
          <w:p w14:paraId="03A3DEA3" w14:textId="358E21E5" w:rsidR="00226A9D" w:rsidRDefault="00095DF9" w:rsidP="00D33F67">
            <w:pPr>
              <w:pStyle w:val="NoSpacing"/>
              <w:numPr>
                <w:ilvl w:val="0"/>
                <w:numId w:val="2"/>
              </w:numPr>
            </w:pPr>
            <w:r w:rsidRPr="00095DF9">
              <w:t>The suggested discussion points</w:t>
            </w:r>
            <w:r w:rsidR="00226A9D">
              <w:t xml:space="preserve"> and </w:t>
            </w:r>
            <w:r w:rsidRPr="00095DF9">
              <w:t>questions provided in this pack for selected articles can be used as a starting point to guide the discussion</w:t>
            </w:r>
            <w:r w:rsidR="000E16BF">
              <w:t xml:space="preserve"> </w:t>
            </w:r>
          </w:p>
          <w:p w14:paraId="186F3642" w14:textId="3637562D" w:rsidR="005C7F1B" w:rsidRPr="00D33F67" w:rsidRDefault="00226A9D" w:rsidP="00220C74">
            <w:pPr>
              <w:pStyle w:val="NoSpacing"/>
              <w:numPr>
                <w:ilvl w:val="0"/>
                <w:numId w:val="2"/>
              </w:numPr>
            </w:pPr>
            <w:r>
              <w:t>S</w:t>
            </w:r>
            <w:r w:rsidR="000E16BF">
              <w:t>tudents</w:t>
            </w:r>
            <w:r>
              <w:t xml:space="preserve"> can be encouraged to</w:t>
            </w:r>
            <w:r w:rsidR="000E16BF">
              <w:t xml:space="preserve"> choose to discuss any of the other articles within the issue</w:t>
            </w:r>
          </w:p>
        </w:tc>
      </w:tr>
    </w:tbl>
    <w:p w14:paraId="276F7F95" w14:textId="0910A2C3" w:rsidR="00C87267" w:rsidRPr="00EA0741" w:rsidRDefault="00C87267" w:rsidP="00111858">
      <w:pPr>
        <w:rPr>
          <w:sz w:val="20"/>
          <w:szCs w:val="20"/>
        </w:rPr>
      </w:pPr>
    </w:p>
    <w:p w14:paraId="0565DA0A" w14:textId="5E40C258" w:rsidR="00B76C91" w:rsidRDefault="00EA0741" w:rsidP="00111858">
      <w:pPr>
        <w:rPr>
          <w:b/>
          <w:bCs/>
        </w:rPr>
      </w:pPr>
      <w:r w:rsidRPr="00EA0741">
        <w:rPr>
          <w:noProof/>
          <w:sz w:val="20"/>
          <w:szCs w:val="20"/>
        </w:rPr>
        <w:drawing>
          <wp:anchor distT="0" distB="0" distL="114300" distR="114300" simplePos="0" relativeHeight="251658240" behindDoc="0" locked="0" layoutInCell="1" allowOverlap="1" wp14:anchorId="1C888F35" wp14:editId="5FF52344">
            <wp:simplePos x="0" y="0"/>
            <wp:positionH relativeFrom="margin">
              <wp:posOffset>0</wp:posOffset>
            </wp:positionH>
            <wp:positionV relativeFrom="paragraph">
              <wp:posOffset>7620</wp:posOffset>
            </wp:positionV>
            <wp:extent cx="1054735" cy="1524000"/>
            <wp:effectExtent l="0" t="0" r="0" b="0"/>
            <wp:wrapSquare wrapText="bothSides"/>
            <wp:docPr id="2" name="Picture 2" descr="A picture containing text, floor, indoor,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loor, indoor, tile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54735" cy="1524000"/>
                    </a:xfrm>
                    <a:prstGeom prst="rect">
                      <a:avLst/>
                    </a:prstGeom>
                  </pic:spPr>
                </pic:pic>
              </a:graphicData>
            </a:graphic>
            <wp14:sizeRelH relativeFrom="margin">
              <wp14:pctWidth>0</wp14:pctWidth>
            </wp14:sizeRelH>
            <wp14:sizeRelV relativeFrom="margin">
              <wp14:pctHeight>0</wp14:pctHeight>
            </wp14:sizeRelV>
          </wp:anchor>
        </w:drawing>
      </w:r>
      <w:r w:rsidR="00B76C91" w:rsidRPr="00B76C91">
        <w:t>e</w:t>
      </w:r>
      <w:r w:rsidR="00111858" w:rsidRPr="00B76C91">
        <w:rPr>
          <w:i/>
          <w:iCs/>
        </w:rPr>
        <w:t>nvironmental S</w:t>
      </w:r>
      <w:r w:rsidR="00B76C91" w:rsidRPr="00B76C91">
        <w:rPr>
          <w:i/>
          <w:iCs/>
        </w:rPr>
        <w:t>CIENTIST</w:t>
      </w:r>
      <w:r w:rsidR="00B76C91">
        <w:rPr>
          <w:b/>
          <w:bCs/>
        </w:rPr>
        <w:br/>
      </w:r>
      <w:r w:rsidRPr="00EA0741">
        <w:rPr>
          <w:b/>
          <w:bCs/>
        </w:rPr>
        <w:t>Improving indoor air quality</w:t>
      </w:r>
      <w:r w:rsidR="00B76C91">
        <w:rPr>
          <w:b/>
          <w:bCs/>
        </w:rPr>
        <w:br/>
      </w:r>
      <w:r w:rsidR="00B76C91" w:rsidRPr="00B76C91">
        <w:t xml:space="preserve">Vol </w:t>
      </w:r>
      <w:r w:rsidR="002B3187">
        <w:t>30</w:t>
      </w:r>
      <w:r w:rsidR="00B76C91" w:rsidRPr="00B76C91">
        <w:t xml:space="preserve">, Issue </w:t>
      </w:r>
      <w:r>
        <w:t>2</w:t>
      </w:r>
    </w:p>
    <w:p w14:paraId="35D00CC9" w14:textId="49ABC999" w:rsidR="00C446E5" w:rsidRDefault="009C3427" w:rsidP="00D33F67">
      <w:pPr>
        <w:pStyle w:val="NoSpacing"/>
      </w:pPr>
      <w:hyperlink r:id="rId11" w:history="1">
        <w:r w:rsidR="00EA0741" w:rsidRPr="001923E0">
          <w:rPr>
            <w:rStyle w:val="Hyperlink"/>
          </w:rPr>
          <w:t>https://www.the-ies.org/resources/improving-indoor-air-quality</w:t>
        </w:r>
      </w:hyperlink>
    </w:p>
    <w:p w14:paraId="224B4FA1" w14:textId="77777777" w:rsidR="00EA0741" w:rsidRDefault="00EA0741" w:rsidP="00D33F67">
      <w:pPr>
        <w:pStyle w:val="NoSpacing"/>
        <w:rPr>
          <w:b/>
          <w:bCs/>
        </w:rPr>
      </w:pPr>
    </w:p>
    <w:p w14:paraId="22822B39" w14:textId="583D4CE2" w:rsidR="00B76C91" w:rsidRDefault="00B76C91" w:rsidP="00D33F67">
      <w:pPr>
        <w:pStyle w:val="NoSpacing"/>
        <w:rPr>
          <w:b/>
          <w:bCs/>
        </w:rPr>
      </w:pPr>
    </w:p>
    <w:p w14:paraId="42BB59B6" w14:textId="0138A433" w:rsidR="00220C74" w:rsidRDefault="00220C74" w:rsidP="00D33F67">
      <w:pPr>
        <w:pStyle w:val="NoSpacing"/>
        <w:rPr>
          <w:b/>
          <w:bCs/>
        </w:rPr>
      </w:pPr>
    </w:p>
    <w:p w14:paraId="74FFE568" w14:textId="5A868CF3" w:rsidR="00C87267" w:rsidRDefault="00C87267" w:rsidP="00D33F67">
      <w:pPr>
        <w:pStyle w:val="NoSpacing"/>
        <w:rPr>
          <w:b/>
          <w:bCs/>
        </w:rPr>
      </w:pPr>
    </w:p>
    <w:p w14:paraId="45D3C6B2" w14:textId="04D1ACA6" w:rsidR="00EA0741" w:rsidRPr="00EA0741" w:rsidRDefault="00EA0741" w:rsidP="00D33F67">
      <w:pPr>
        <w:pStyle w:val="NoSpacing"/>
        <w:rPr>
          <w:b/>
          <w:bCs/>
          <w:sz w:val="30"/>
          <w:szCs w:val="30"/>
        </w:rPr>
      </w:pPr>
    </w:p>
    <w:p w14:paraId="44116413" w14:textId="77777777" w:rsidR="00EA0741" w:rsidRPr="00EA0741" w:rsidRDefault="00EA0741" w:rsidP="00D33F67">
      <w:pPr>
        <w:pStyle w:val="NoSpacing"/>
        <w:rPr>
          <w:b/>
          <w:bCs/>
          <w:sz w:val="2"/>
          <w:szCs w:val="2"/>
        </w:rPr>
      </w:pPr>
    </w:p>
    <w:tbl>
      <w:tblPr>
        <w:tblStyle w:val="TableGrid"/>
        <w:tblW w:w="9498" w:type="dxa"/>
        <w:tblInd w:w="-5" w:type="dxa"/>
        <w:tblLook w:val="04A0" w:firstRow="1" w:lastRow="0" w:firstColumn="1" w:lastColumn="0" w:noHBand="0" w:noVBand="1"/>
      </w:tblPr>
      <w:tblGrid>
        <w:gridCol w:w="1696"/>
        <w:gridCol w:w="7802"/>
      </w:tblGrid>
      <w:tr w:rsidR="00111858" w:rsidRPr="008C066D" w14:paraId="29A6278B" w14:textId="77777777" w:rsidTr="00C87267">
        <w:trPr>
          <w:trHeight w:val="699"/>
        </w:trPr>
        <w:tc>
          <w:tcPr>
            <w:tcW w:w="1696" w:type="dxa"/>
            <w:shd w:val="clear" w:color="auto" w:fill="D9D9D9" w:themeFill="background1" w:themeFillShade="D9"/>
            <w:vAlign w:val="center"/>
          </w:tcPr>
          <w:p w14:paraId="66A52193" w14:textId="73686353" w:rsidR="00111858" w:rsidRPr="00111858" w:rsidRDefault="00111858" w:rsidP="00052622">
            <w:pPr>
              <w:rPr>
                <w:b/>
                <w:bCs/>
              </w:rPr>
            </w:pPr>
            <w:r w:rsidRPr="00111858">
              <w:rPr>
                <w:b/>
                <w:bCs/>
              </w:rPr>
              <w:t xml:space="preserve">Topic overview </w:t>
            </w:r>
          </w:p>
        </w:tc>
        <w:tc>
          <w:tcPr>
            <w:tcW w:w="7802" w:type="dxa"/>
            <w:vAlign w:val="center"/>
          </w:tcPr>
          <w:p w14:paraId="49B7C24F" w14:textId="2101BE43" w:rsidR="00111858" w:rsidRPr="00EA0741" w:rsidRDefault="00EA0741" w:rsidP="00856BE0">
            <w:pPr>
              <w:pStyle w:val="NoSpacing"/>
            </w:pPr>
            <w:r w:rsidRPr="00EA0741">
              <w:t xml:space="preserve">We spend an average of 90 per cent of our time indoors, and good indoor air is paramount for our optimum health, wellbeing and productivity. However, indoor air is often contaminated with pollutants from indoor sources, as well as those that have migrated from outdoors, and thus may potentially present a greater risk to our health than outdoor air. </w:t>
            </w:r>
            <w:r>
              <w:t>Articles</w:t>
            </w:r>
            <w:r w:rsidRPr="00EA0741">
              <w:t xml:space="preserve"> examine </w:t>
            </w:r>
            <w:r w:rsidR="005B4C03">
              <w:t>topics</w:t>
            </w:r>
            <w:r w:rsidRPr="00EA0741">
              <w:t xml:space="preserve"> that are important to understanding how to achieve good indoor air quality</w:t>
            </w:r>
            <w:r w:rsidR="00843951">
              <w:t>, including</w:t>
            </w:r>
            <w:r w:rsidRPr="00EA0741">
              <w:t xml:space="preserve"> the importance of good indoor air, a monitoring campaign in nurseries and schools, and indoor air quality considerations for companies returning to the office following Covid-19.</w:t>
            </w:r>
          </w:p>
        </w:tc>
      </w:tr>
      <w:tr w:rsidR="00111858" w:rsidRPr="008C066D" w14:paraId="04339BDA" w14:textId="77777777" w:rsidTr="008C26C9">
        <w:trPr>
          <w:trHeight w:val="289"/>
        </w:trPr>
        <w:tc>
          <w:tcPr>
            <w:tcW w:w="9498" w:type="dxa"/>
            <w:gridSpan w:val="2"/>
            <w:shd w:val="clear" w:color="auto" w:fill="D9D9D9" w:themeFill="background1" w:themeFillShade="D9"/>
          </w:tcPr>
          <w:p w14:paraId="61B1FC94" w14:textId="0502C6AA" w:rsidR="00111858" w:rsidRPr="00111858" w:rsidRDefault="00111858" w:rsidP="00111858">
            <w:pPr>
              <w:pStyle w:val="NoSpacing"/>
              <w:jc w:val="center"/>
              <w:rPr>
                <w:b/>
                <w:bCs/>
              </w:rPr>
            </w:pPr>
            <w:r w:rsidRPr="00111858">
              <w:rPr>
                <w:b/>
                <w:bCs/>
              </w:rPr>
              <w:lastRenderedPageBreak/>
              <w:t xml:space="preserve">Articles in </w:t>
            </w:r>
            <w:r w:rsidR="00856BE0">
              <w:rPr>
                <w:b/>
                <w:bCs/>
              </w:rPr>
              <w:t>f</w:t>
            </w:r>
            <w:r w:rsidRPr="00111858">
              <w:rPr>
                <w:b/>
                <w:bCs/>
              </w:rPr>
              <w:t>ocus</w:t>
            </w:r>
          </w:p>
        </w:tc>
      </w:tr>
      <w:tr w:rsidR="00C05BB6" w:rsidRPr="008C066D" w14:paraId="3F49C2ED" w14:textId="77777777" w:rsidTr="00C87267">
        <w:trPr>
          <w:trHeight w:val="965"/>
        </w:trPr>
        <w:tc>
          <w:tcPr>
            <w:tcW w:w="1696" w:type="dxa"/>
            <w:vMerge w:val="restart"/>
            <w:shd w:val="clear" w:color="auto" w:fill="D9D9D9" w:themeFill="background1" w:themeFillShade="D9"/>
            <w:vAlign w:val="center"/>
          </w:tcPr>
          <w:p w14:paraId="07BF7671" w14:textId="668FA6A1" w:rsidR="006978D9" w:rsidRDefault="00EA0741" w:rsidP="00052622">
            <w:pPr>
              <w:rPr>
                <w:b/>
                <w:bCs/>
              </w:rPr>
            </w:pPr>
            <w:r>
              <w:rPr>
                <w:b/>
                <w:bCs/>
              </w:rPr>
              <w:t>Ventilation</w:t>
            </w:r>
          </w:p>
          <w:p w14:paraId="7A5A969D" w14:textId="77777777" w:rsidR="002B3187" w:rsidRDefault="002B3187" w:rsidP="00052622">
            <w:pPr>
              <w:rPr>
                <w:b/>
                <w:bCs/>
              </w:rPr>
            </w:pPr>
          </w:p>
          <w:p w14:paraId="1FA7FD7C" w14:textId="2BFCF935" w:rsidR="00C05BB6" w:rsidRPr="008C7366" w:rsidRDefault="00EA0741" w:rsidP="00C05BB6">
            <w:pPr>
              <w:rPr>
                <w:b/>
                <w:bCs/>
              </w:rPr>
            </w:pPr>
            <w:r>
              <w:rPr>
                <w:b/>
                <w:bCs/>
              </w:rPr>
              <w:t>Emma Gibbons</w:t>
            </w:r>
            <w:r w:rsidR="00177D70">
              <w:rPr>
                <w:b/>
                <w:bCs/>
              </w:rPr>
              <w:t xml:space="preserve"> </w:t>
            </w:r>
            <w:r w:rsidR="00C05BB6" w:rsidRPr="0007383B">
              <w:rPr>
                <w:b/>
                <w:bCs/>
              </w:rPr>
              <w:t>(p.</w:t>
            </w:r>
            <w:r>
              <w:rPr>
                <w:b/>
                <w:bCs/>
              </w:rPr>
              <w:t>12</w:t>
            </w:r>
            <w:r w:rsidR="00C05BB6" w:rsidRPr="0007383B">
              <w:rPr>
                <w:b/>
                <w:bCs/>
              </w:rPr>
              <w:t>)</w:t>
            </w:r>
          </w:p>
        </w:tc>
        <w:tc>
          <w:tcPr>
            <w:tcW w:w="7802" w:type="dxa"/>
            <w:shd w:val="clear" w:color="auto" w:fill="E7E6E6" w:themeFill="background2"/>
            <w:vAlign w:val="center"/>
          </w:tcPr>
          <w:p w14:paraId="0AB43B0B" w14:textId="017C7D00" w:rsidR="00631919" w:rsidRPr="00631919" w:rsidRDefault="002D07E1" w:rsidP="00EA0741">
            <w:pPr>
              <w:pStyle w:val="NoSpacing"/>
            </w:pPr>
            <w:r>
              <w:rPr>
                <w:b/>
                <w:bCs/>
              </w:rPr>
              <w:t>Article overview:</w:t>
            </w:r>
            <w:r w:rsidR="00C05BB6" w:rsidRPr="002D07E1">
              <w:t xml:space="preserve"> </w:t>
            </w:r>
            <w:r w:rsidR="00851176">
              <w:t xml:space="preserve">This article </w:t>
            </w:r>
            <w:r w:rsidR="00EA0741">
              <w:t>explores building ventilation, indoor air quality, and their links with good building design and operation</w:t>
            </w:r>
            <w:r w:rsidR="00D46787">
              <w:t>.</w:t>
            </w:r>
          </w:p>
        </w:tc>
      </w:tr>
      <w:tr w:rsidR="00C05BB6" w:rsidRPr="008C066D" w14:paraId="6B4F9518" w14:textId="77777777" w:rsidTr="009D63CC">
        <w:trPr>
          <w:trHeight w:val="2539"/>
        </w:trPr>
        <w:tc>
          <w:tcPr>
            <w:tcW w:w="1696" w:type="dxa"/>
            <w:vMerge/>
            <w:shd w:val="clear" w:color="auto" w:fill="D9D9D9" w:themeFill="background1" w:themeFillShade="D9"/>
          </w:tcPr>
          <w:p w14:paraId="5C8545E1" w14:textId="77777777" w:rsidR="00C05BB6" w:rsidRPr="0007383B" w:rsidRDefault="00C05BB6" w:rsidP="00C05BB6">
            <w:pPr>
              <w:rPr>
                <w:b/>
                <w:bCs/>
              </w:rPr>
            </w:pPr>
          </w:p>
        </w:tc>
        <w:tc>
          <w:tcPr>
            <w:tcW w:w="7802" w:type="dxa"/>
            <w:vAlign w:val="center"/>
          </w:tcPr>
          <w:p w14:paraId="15BFB3DE" w14:textId="12D79FD5" w:rsidR="00EA0741" w:rsidRDefault="00EA0741" w:rsidP="009D63CC">
            <w:pPr>
              <w:pStyle w:val="NoSpacing"/>
              <w:numPr>
                <w:ilvl w:val="0"/>
                <w:numId w:val="8"/>
              </w:numPr>
              <w:spacing w:before="60"/>
              <w:ind w:left="357" w:hanging="357"/>
            </w:pPr>
            <w:r>
              <w:t>What constitutes good ventilation and why is it important?</w:t>
            </w:r>
          </w:p>
          <w:p w14:paraId="76640591" w14:textId="62C5CFDB" w:rsidR="00EA0741" w:rsidRDefault="00EA0741" w:rsidP="009D63CC">
            <w:pPr>
              <w:pStyle w:val="NoSpacing"/>
              <w:numPr>
                <w:ilvl w:val="0"/>
                <w:numId w:val="8"/>
              </w:numPr>
              <w:spacing w:before="60"/>
              <w:ind w:left="357" w:hanging="357"/>
            </w:pPr>
            <w:r>
              <w:t>There are three ventilation methods outlined in the article, what do you think are the main benefits of each method?</w:t>
            </w:r>
          </w:p>
          <w:p w14:paraId="7636752C" w14:textId="4BECAD12" w:rsidR="00EA0741" w:rsidRDefault="00EA0741" w:rsidP="009D63CC">
            <w:pPr>
              <w:pStyle w:val="NoSpacing"/>
              <w:numPr>
                <w:ilvl w:val="0"/>
                <w:numId w:val="8"/>
              </w:numPr>
              <w:spacing w:before="60"/>
              <w:ind w:left="357" w:hanging="357"/>
            </w:pPr>
            <w:r>
              <w:t>The article makes recommendations for building ventilation design and operation, what do you think the challenges are to achieving good design and/or operation?</w:t>
            </w:r>
          </w:p>
          <w:p w14:paraId="7FD6B7A1" w14:textId="33DF04D9" w:rsidR="00F95824" w:rsidRDefault="00EA0741" w:rsidP="009D63CC">
            <w:pPr>
              <w:pStyle w:val="NoSpacing"/>
              <w:numPr>
                <w:ilvl w:val="0"/>
                <w:numId w:val="8"/>
              </w:numPr>
              <w:spacing w:before="60"/>
              <w:ind w:left="357" w:hanging="357"/>
            </w:pPr>
            <w:r>
              <w:t xml:space="preserve">Thinking about a building you know </w:t>
            </w:r>
            <w:r w:rsidR="00BB531C">
              <w:t>well;</w:t>
            </w:r>
            <w:r>
              <w:t xml:space="preserve"> how successful do you think the building ventilation design is?</w:t>
            </w:r>
          </w:p>
        </w:tc>
      </w:tr>
      <w:tr w:rsidR="00C05BB6" w:rsidRPr="008C066D" w14:paraId="4D1B21F3" w14:textId="77777777" w:rsidTr="00C87267">
        <w:trPr>
          <w:trHeight w:val="987"/>
        </w:trPr>
        <w:tc>
          <w:tcPr>
            <w:tcW w:w="1696" w:type="dxa"/>
            <w:vMerge w:val="restart"/>
            <w:shd w:val="clear" w:color="auto" w:fill="D9D9D9" w:themeFill="background1" w:themeFillShade="D9"/>
            <w:vAlign w:val="center"/>
          </w:tcPr>
          <w:p w14:paraId="3873BAEA" w14:textId="100231DE" w:rsidR="00EA0741" w:rsidRPr="00EA0741" w:rsidRDefault="00EA0741" w:rsidP="00EA0741">
            <w:pPr>
              <w:rPr>
                <w:b/>
                <w:bCs/>
              </w:rPr>
            </w:pPr>
            <w:r w:rsidRPr="00EA0741">
              <w:rPr>
                <w:b/>
                <w:bCs/>
              </w:rPr>
              <w:t>The inequality of</w:t>
            </w:r>
            <w:r>
              <w:rPr>
                <w:b/>
                <w:bCs/>
              </w:rPr>
              <w:t xml:space="preserve"> </w:t>
            </w:r>
            <w:r w:rsidRPr="00EA0741">
              <w:rPr>
                <w:b/>
                <w:bCs/>
              </w:rPr>
              <w:t>indoor air quality</w:t>
            </w:r>
            <w:r>
              <w:rPr>
                <w:b/>
                <w:bCs/>
              </w:rPr>
              <w:t xml:space="preserve"> </w:t>
            </w:r>
            <w:r w:rsidRPr="00EA0741">
              <w:rPr>
                <w:b/>
                <w:bCs/>
              </w:rPr>
              <w:t>legislation and</w:t>
            </w:r>
          </w:p>
          <w:p w14:paraId="32ADE4EF" w14:textId="3F3FD143" w:rsidR="00D46787" w:rsidRDefault="00EA0741" w:rsidP="00EA0741">
            <w:pPr>
              <w:rPr>
                <w:b/>
                <w:bCs/>
              </w:rPr>
            </w:pPr>
            <w:r w:rsidRPr="00EA0741">
              <w:rPr>
                <w:b/>
                <w:bCs/>
              </w:rPr>
              <w:t>assessment criteria</w:t>
            </w:r>
          </w:p>
          <w:p w14:paraId="0E4BD959" w14:textId="77777777" w:rsidR="00EA0741" w:rsidRDefault="00EA0741" w:rsidP="00EA0741">
            <w:pPr>
              <w:rPr>
                <w:b/>
                <w:bCs/>
              </w:rPr>
            </w:pPr>
          </w:p>
          <w:p w14:paraId="63EFB1F3" w14:textId="1E4A15BD" w:rsidR="00C05BB6" w:rsidRPr="0007383B" w:rsidRDefault="00EA0741" w:rsidP="00D46787">
            <w:pPr>
              <w:rPr>
                <w:b/>
                <w:bCs/>
              </w:rPr>
            </w:pPr>
            <w:r>
              <w:rPr>
                <w:b/>
                <w:bCs/>
              </w:rPr>
              <w:t>Oliver Puddle</w:t>
            </w:r>
            <w:r w:rsidR="00D46787">
              <w:rPr>
                <w:b/>
                <w:bCs/>
              </w:rPr>
              <w:t xml:space="preserve"> </w:t>
            </w:r>
            <w:r w:rsidR="00D46787" w:rsidRPr="0007383B">
              <w:rPr>
                <w:b/>
                <w:bCs/>
              </w:rPr>
              <w:t>(p.</w:t>
            </w:r>
            <w:r>
              <w:rPr>
                <w:b/>
                <w:bCs/>
              </w:rPr>
              <w:t>26</w:t>
            </w:r>
            <w:r w:rsidR="00D46787" w:rsidRPr="0007383B">
              <w:rPr>
                <w:b/>
                <w:bCs/>
              </w:rPr>
              <w:t>)</w:t>
            </w:r>
          </w:p>
        </w:tc>
        <w:tc>
          <w:tcPr>
            <w:tcW w:w="7802" w:type="dxa"/>
            <w:shd w:val="clear" w:color="auto" w:fill="E7E6E6" w:themeFill="background2"/>
            <w:vAlign w:val="center"/>
          </w:tcPr>
          <w:p w14:paraId="2FC2D1AD" w14:textId="366C6776" w:rsidR="00EA0741" w:rsidRDefault="002D07E1" w:rsidP="00EA0741">
            <w:pPr>
              <w:pStyle w:val="NoSpacing"/>
            </w:pPr>
            <w:r w:rsidRPr="00F83AEA">
              <w:rPr>
                <w:b/>
                <w:bCs/>
              </w:rPr>
              <w:t>Article overview:</w:t>
            </w:r>
            <w:r w:rsidRPr="00F83AEA">
              <w:t xml:space="preserve"> </w:t>
            </w:r>
            <w:r w:rsidR="00D46787">
              <w:t xml:space="preserve">This article outlines </w:t>
            </w:r>
            <w:r w:rsidR="00EA0741">
              <w:t>how air quality legislation and assessment</w:t>
            </w:r>
          </w:p>
          <w:p w14:paraId="7D8AB3A8" w14:textId="16E27799" w:rsidR="00C05BB6" w:rsidRPr="00D46787" w:rsidRDefault="00EA0741" w:rsidP="00EA0741">
            <w:pPr>
              <w:pStyle w:val="NoSpacing"/>
            </w:pPr>
            <w:r>
              <w:t>criteria vary depending on whether you are outside or indoors.</w:t>
            </w:r>
          </w:p>
        </w:tc>
      </w:tr>
      <w:tr w:rsidR="00C05BB6" w:rsidRPr="008C066D" w14:paraId="447BE1EC" w14:textId="77777777" w:rsidTr="009D63CC">
        <w:trPr>
          <w:trHeight w:val="3679"/>
        </w:trPr>
        <w:tc>
          <w:tcPr>
            <w:tcW w:w="1696" w:type="dxa"/>
            <w:vMerge/>
            <w:shd w:val="clear" w:color="auto" w:fill="D9D9D9" w:themeFill="background1" w:themeFillShade="D9"/>
          </w:tcPr>
          <w:p w14:paraId="13FCF6F3" w14:textId="77777777" w:rsidR="00C05BB6" w:rsidRPr="0007383B" w:rsidRDefault="00C05BB6" w:rsidP="00C05BB6">
            <w:pPr>
              <w:rPr>
                <w:b/>
                <w:bCs/>
              </w:rPr>
            </w:pPr>
          </w:p>
        </w:tc>
        <w:tc>
          <w:tcPr>
            <w:tcW w:w="7802" w:type="dxa"/>
            <w:vAlign w:val="center"/>
          </w:tcPr>
          <w:p w14:paraId="684C9EFB" w14:textId="79963E13" w:rsidR="00EA0741" w:rsidRDefault="00EA0741" w:rsidP="009D63CC">
            <w:pPr>
              <w:pStyle w:val="NoSpacing"/>
              <w:numPr>
                <w:ilvl w:val="0"/>
                <w:numId w:val="8"/>
              </w:numPr>
              <w:spacing w:before="60"/>
              <w:ind w:left="357" w:hanging="357"/>
            </w:pPr>
            <w:r>
              <w:t xml:space="preserve">Referring to the question raised in the article introduction, who is responsible for the air we breathe outdoors, in our place of work, in a recreational premises and in our homes? </w:t>
            </w:r>
          </w:p>
          <w:p w14:paraId="5E7BF2E7" w14:textId="6BD1627E" w:rsidR="00EA0741" w:rsidRDefault="00EA0741" w:rsidP="009D63CC">
            <w:pPr>
              <w:pStyle w:val="NoSpacing"/>
              <w:numPr>
                <w:ilvl w:val="0"/>
                <w:numId w:val="8"/>
              </w:numPr>
              <w:spacing w:before="60"/>
              <w:ind w:left="357" w:hanging="357"/>
            </w:pPr>
            <w:r>
              <w:t xml:space="preserve">Why do you think workplace/occupational exposure regulatory limits are less stringent than ambient air quality regulatory limits? Why are more pollutants/substances included in COSHH EH40 than the UK Air Quality Objectives? </w:t>
            </w:r>
          </w:p>
          <w:p w14:paraId="5422668D" w14:textId="1A328CCD" w:rsidR="00EA0741" w:rsidRDefault="00EA0741" w:rsidP="009D63CC">
            <w:pPr>
              <w:pStyle w:val="NoSpacing"/>
              <w:numPr>
                <w:ilvl w:val="0"/>
                <w:numId w:val="8"/>
              </w:numPr>
              <w:spacing w:before="60"/>
              <w:ind w:left="357" w:hanging="357"/>
            </w:pPr>
            <w:r>
              <w:t xml:space="preserve">Why might it be difficult to establish and enforce indoor air quality legislation in all indoor environments? Our homes, for example? </w:t>
            </w:r>
          </w:p>
          <w:p w14:paraId="6A9A820B" w14:textId="12BD6469" w:rsidR="009F0C56" w:rsidRPr="002D7DC0" w:rsidRDefault="00EA0741" w:rsidP="009D63CC">
            <w:pPr>
              <w:pStyle w:val="NoSpacing"/>
              <w:numPr>
                <w:ilvl w:val="0"/>
                <w:numId w:val="8"/>
              </w:numPr>
              <w:spacing w:before="60"/>
              <w:ind w:left="357" w:hanging="357"/>
            </w:pPr>
            <w:r>
              <w:t xml:space="preserve">The WHO air quality guidelines are applicable in Europe, why might these not be appropriate for developing countries? What is the wider significance of this in terms of social inequality? </w:t>
            </w:r>
            <w:r w:rsidR="00371BB8">
              <w:t xml:space="preserve"> </w:t>
            </w:r>
          </w:p>
        </w:tc>
      </w:tr>
      <w:tr w:rsidR="004A799F" w:rsidRPr="008C066D" w14:paraId="540F96B5" w14:textId="77777777" w:rsidTr="009D63CC">
        <w:trPr>
          <w:trHeight w:val="983"/>
        </w:trPr>
        <w:tc>
          <w:tcPr>
            <w:tcW w:w="1696" w:type="dxa"/>
            <w:vMerge w:val="restart"/>
            <w:shd w:val="clear" w:color="auto" w:fill="D9D9D9" w:themeFill="background1" w:themeFillShade="D9"/>
          </w:tcPr>
          <w:p w14:paraId="3483FBD2" w14:textId="77777777" w:rsidR="005C7F1B" w:rsidRDefault="005C7F1B" w:rsidP="00C05BB6">
            <w:pPr>
              <w:rPr>
                <w:b/>
                <w:bCs/>
              </w:rPr>
            </w:pPr>
          </w:p>
          <w:p w14:paraId="1C139B0E" w14:textId="03A6A2BD" w:rsidR="005C7F1B" w:rsidRDefault="005C7F1B" w:rsidP="00C05BB6">
            <w:pPr>
              <w:rPr>
                <w:b/>
                <w:bCs/>
              </w:rPr>
            </w:pPr>
          </w:p>
          <w:p w14:paraId="2B2D6DAB" w14:textId="77777777" w:rsidR="00C87267" w:rsidRDefault="00C87267" w:rsidP="00C05BB6">
            <w:pPr>
              <w:rPr>
                <w:b/>
                <w:bCs/>
              </w:rPr>
            </w:pPr>
          </w:p>
          <w:p w14:paraId="7FD96674" w14:textId="0602A5A3" w:rsidR="00522B35" w:rsidRDefault="009D63CC" w:rsidP="009D63CC">
            <w:pPr>
              <w:rPr>
                <w:b/>
                <w:bCs/>
              </w:rPr>
            </w:pPr>
            <w:r w:rsidRPr="009D63CC">
              <w:rPr>
                <w:b/>
                <w:bCs/>
              </w:rPr>
              <w:t>Collaborating on</w:t>
            </w:r>
            <w:r>
              <w:rPr>
                <w:b/>
                <w:bCs/>
              </w:rPr>
              <w:t xml:space="preserve"> </w:t>
            </w:r>
            <w:r w:rsidRPr="009D63CC">
              <w:rPr>
                <w:b/>
                <w:bCs/>
              </w:rPr>
              <w:t>assessment, design</w:t>
            </w:r>
            <w:r>
              <w:rPr>
                <w:b/>
                <w:bCs/>
              </w:rPr>
              <w:t xml:space="preserve"> </w:t>
            </w:r>
            <w:r w:rsidRPr="009D63CC">
              <w:rPr>
                <w:b/>
                <w:bCs/>
              </w:rPr>
              <w:t>and management</w:t>
            </w:r>
          </w:p>
          <w:p w14:paraId="2E990807" w14:textId="77777777" w:rsidR="009D63CC" w:rsidRPr="006978D9" w:rsidRDefault="009D63CC" w:rsidP="009D63CC">
            <w:pPr>
              <w:rPr>
                <w:b/>
                <w:bCs/>
                <w:highlight w:val="yellow"/>
              </w:rPr>
            </w:pPr>
          </w:p>
          <w:p w14:paraId="1534F4FE" w14:textId="1C1FE561" w:rsidR="004A799F" w:rsidRPr="0007383B" w:rsidRDefault="009D63CC" w:rsidP="00CF2873">
            <w:pPr>
              <w:rPr>
                <w:b/>
                <w:bCs/>
              </w:rPr>
            </w:pPr>
            <w:r>
              <w:rPr>
                <w:b/>
                <w:bCs/>
              </w:rPr>
              <w:t>Chris Rush</w:t>
            </w:r>
            <w:r w:rsidR="00D46787" w:rsidRPr="00D46787">
              <w:rPr>
                <w:b/>
                <w:bCs/>
              </w:rPr>
              <w:t xml:space="preserve"> </w:t>
            </w:r>
            <w:r w:rsidR="004A799F" w:rsidRPr="00D46787">
              <w:rPr>
                <w:b/>
                <w:bCs/>
              </w:rPr>
              <w:t>(p.</w:t>
            </w:r>
            <w:r>
              <w:rPr>
                <w:b/>
                <w:bCs/>
              </w:rPr>
              <w:t>50</w:t>
            </w:r>
            <w:r w:rsidR="004A799F" w:rsidRPr="00D46787">
              <w:rPr>
                <w:b/>
                <w:bCs/>
              </w:rPr>
              <w:t>)</w:t>
            </w:r>
          </w:p>
        </w:tc>
        <w:tc>
          <w:tcPr>
            <w:tcW w:w="7802" w:type="dxa"/>
            <w:shd w:val="clear" w:color="auto" w:fill="E7E6E6" w:themeFill="background2"/>
            <w:vAlign w:val="center"/>
          </w:tcPr>
          <w:p w14:paraId="2BA78114" w14:textId="3A654122" w:rsidR="000A683A" w:rsidRPr="00E46DBA" w:rsidRDefault="00105ECE" w:rsidP="009D63CC">
            <w:pPr>
              <w:pStyle w:val="NoSpacing"/>
              <w:rPr>
                <w:highlight w:val="yellow"/>
              </w:rPr>
            </w:pPr>
            <w:r w:rsidRPr="00FC33BE">
              <w:rPr>
                <w:b/>
                <w:bCs/>
              </w:rPr>
              <w:t>Article overview:</w:t>
            </w:r>
            <w:r w:rsidRPr="00FC33BE">
              <w:t xml:space="preserve"> This article </w:t>
            </w:r>
            <w:r w:rsidR="009D63CC">
              <w:t>emphasises the need for coordinated input at all stages of a building project to achieve the best indoor air quality.</w:t>
            </w:r>
          </w:p>
        </w:tc>
      </w:tr>
      <w:tr w:rsidR="004A799F" w:rsidRPr="008C066D" w14:paraId="16D2521A" w14:textId="77777777" w:rsidTr="009D63CC">
        <w:trPr>
          <w:trHeight w:val="2560"/>
        </w:trPr>
        <w:tc>
          <w:tcPr>
            <w:tcW w:w="1696" w:type="dxa"/>
            <w:vMerge/>
            <w:shd w:val="clear" w:color="auto" w:fill="D9D9D9" w:themeFill="background1" w:themeFillShade="D9"/>
          </w:tcPr>
          <w:p w14:paraId="75C52026" w14:textId="77777777" w:rsidR="004A799F" w:rsidRDefault="004A799F" w:rsidP="00C05BB6">
            <w:pPr>
              <w:rPr>
                <w:b/>
                <w:bCs/>
              </w:rPr>
            </w:pPr>
          </w:p>
        </w:tc>
        <w:tc>
          <w:tcPr>
            <w:tcW w:w="7802" w:type="dxa"/>
            <w:vAlign w:val="center"/>
          </w:tcPr>
          <w:p w14:paraId="1F51D282" w14:textId="1FEDC2A3" w:rsidR="00EA0741" w:rsidRDefault="00EA0741" w:rsidP="009D63CC">
            <w:pPr>
              <w:pStyle w:val="NoSpacing"/>
              <w:numPr>
                <w:ilvl w:val="0"/>
                <w:numId w:val="10"/>
              </w:numPr>
              <w:spacing w:before="60"/>
              <w:ind w:left="357" w:hanging="357"/>
            </w:pPr>
            <w:r>
              <w:t>Describe the roles the various stakeholders involved during both the design and operation stages of a building have in influencing indoor air quality</w:t>
            </w:r>
            <w:r w:rsidR="003E3C9F">
              <w:t>.</w:t>
            </w:r>
          </w:p>
          <w:p w14:paraId="2105793B" w14:textId="52008D56" w:rsidR="00EA0741" w:rsidRDefault="00EA0741" w:rsidP="009D63CC">
            <w:pPr>
              <w:pStyle w:val="NoSpacing"/>
              <w:numPr>
                <w:ilvl w:val="0"/>
                <w:numId w:val="10"/>
              </w:numPr>
              <w:spacing w:before="60"/>
              <w:ind w:left="357" w:hanging="357"/>
            </w:pPr>
            <w:r>
              <w:t>Outline how the collaboration of various disciplines around the topic of indoor air quality within a project team may vary throughout the stages of a building project</w:t>
            </w:r>
            <w:r w:rsidR="003E3C9F">
              <w:t>.</w:t>
            </w:r>
          </w:p>
          <w:p w14:paraId="266F4C64" w14:textId="41BD63C9" w:rsidR="008A6D53" w:rsidRPr="00291616" w:rsidRDefault="00EA0741" w:rsidP="009D63CC">
            <w:pPr>
              <w:pStyle w:val="NoSpacing"/>
              <w:numPr>
                <w:ilvl w:val="0"/>
                <w:numId w:val="10"/>
              </w:numPr>
              <w:spacing w:before="60"/>
              <w:ind w:left="357" w:hanging="357"/>
            </w:pPr>
            <w:r>
              <w:t>List and describe three potential reasons for poor indoor air quality and impacts on the users of a building as a result of a lack of</w:t>
            </w:r>
            <w:r w:rsidR="00DF10E2">
              <w:t xml:space="preserve"> or </w:t>
            </w:r>
            <w:r>
              <w:t>ineffective collaboration between disciplines</w:t>
            </w:r>
            <w:r w:rsidR="003E3C9F">
              <w:t>.</w:t>
            </w:r>
            <w:r>
              <w:t xml:space="preserve"> </w:t>
            </w:r>
            <w:r w:rsidR="00295A7F">
              <w:t xml:space="preserve"> </w:t>
            </w:r>
          </w:p>
        </w:tc>
      </w:tr>
    </w:tbl>
    <w:p w14:paraId="7A58726C" w14:textId="77777777" w:rsidR="009343FF" w:rsidRPr="00876C46" w:rsidRDefault="009343FF" w:rsidP="00C87267"/>
    <w:sectPr w:rsidR="009343FF" w:rsidRPr="00876C46" w:rsidSect="002B280F">
      <w:headerReference w:type="default" r:id="rId12"/>
      <w:pgSz w:w="11906" w:h="16838"/>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AC25" w14:textId="77777777" w:rsidR="009C3427" w:rsidRDefault="009C3427" w:rsidP="0007383B">
      <w:pPr>
        <w:spacing w:after="0" w:line="240" w:lineRule="auto"/>
      </w:pPr>
      <w:r>
        <w:separator/>
      </w:r>
    </w:p>
  </w:endnote>
  <w:endnote w:type="continuationSeparator" w:id="0">
    <w:p w14:paraId="13D0178A" w14:textId="77777777" w:rsidR="009C3427" w:rsidRDefault="009C3427" w:rsidP="0007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3695" w14:textId="77777777" w:rsidR="009C3427" w:rsidRDefault="009C3427" w:rsidP="0007383B">
      <w:pPr>
        <w:spacing w:after="0" w:line="240" w:lineRule="auto"/>
      </w:pPr>
      <w:r>
        <w:separator/>
      </w:r>
    </w:p>
  </w:footnote>
  <w:footnote w:type="continuationSeparator" w:id="0">
    <w:p w14:paraId="2023035C" w14:textId="77777777" w:rsidR="009C3427" w:rsidRDefault="009C3427" w:rsidP="0007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6E8F" w14:textId="4808B44B" w:rsidR="0007383B" w:rsidRDefault="0007383B">
    <w:pPr>
      <w:pStyle w:val="Header"/>
    </w:pPr>
    <w:r>
      <w:rPr>
        <w:noProof/>
      </w:rPr>
      <w:drawing>
        <wp:anchor distT="0" distB="0" distL="114300" distR="114300" simplePos="0" relativeHeight="251659264" behindDoc="0" locked="0" layoutInCell="1" allowOverlap="1" wp14:anchorId="5A5763FC" wp14:editId="10F974B8">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r w:rsidRPr="0007383B">
      <w:rPr>
        <w:noProof/>
      </w:rPr>
      <w:drawing>
        <wp:anchor distT="0" distB="0" distL="114300" distR="114300" simplePos="0" relativeHeight="251658240" behindDoc="0" locked="0" layoutInCell="1" allowOverlap="1" wp14:anchorId="0DA8CE19" wp14:editId="5895A550">
          <wp:simplePos x="0" y="0"/>
          <wp:positionH relativeFrom="column">
            <wp:posOffset>-24765</wp:posOffset>
          </wp:positionH>
          <wp:positionV relativeFrom="paragraph">
            <wp:posOffset>-297180</wp:posOffset>
          </wp:positionV>
          <wp:extent cx="857250" cy="80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57250" cy="801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9EE"/>
    <w:multiLevelType w:val="hybridMultilevel"/>
    <w:tmpl w:val="975C1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51C52"/>
    <w:multiLevelType w:val="hybridMultilevel"/>
    <w:tmpl w:val="617E9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8A7D1D"/>
    <w:multiLevelType w:val="hybridMultilevel"/>
    <w:tmpl w:val="F29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B871BF"/>
    <w:multiLevelType w:val="hybridMultilevel"/>
    <w:tmpl w:val="177A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1D7A62"/>
    <w:multiLevelType w:val="hybridMultilevel"/>
    <w:tmpl w:val="F914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80BC5"/>
    <w:multiLevelType w:val="hybridMultilevel"/>
    <w:tmpl w:val="76621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01739"/>
    <w:multiLevelType w:val="hybridMultilevel"/>
    <w:tmpl w:val="4ACCD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5629C0"/>
    <w:multiLevelType w:val="hybridMultilevel"/>
    <w:tmpl w:val="DF7A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7311F"/>
    <w:multiLevelType w:val="hybridMultilevel"/>
    <w:tmpl w:val="6726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C10E02"/>
    <w:multiLevelType w:val="hybridMultilevel"/>
    <w:tmpl w:val="39109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0"/>
  </w:num>
  <w:num w:numId="6">
    <w:abstractNumId w:val="9"/>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B"/>
    <w:rsid w:val="000070F9"/>
    <w:rsid w:val="00010145"/>
    <w:rsid w:val="000157F3"/>
    <w:rsid w:val="00021304"/>
    <w:rsid w:val="00070810"/>
    <w:rsid w:val="0007383B"/>
    <w:rsid w:val="000907C4"/>
    <w:rsid w:val="00094358"/>
    <w:rsid w:val="00095DF9"/>
    <w:rsid w:val="000A683A"/>
    <w:rsid w:val="000B1F49"/>
    <w:rsid w:val="000B20F0"/>
    <w:rsid w:val="000E16BF"/>
    <w:rsid w:val="000E1AC7"/>
    <w:rsid w:val="00105ECE"/>
    <w:rsid w:val="0011119D"/>
    <w:rsid w:val="00111858"/>
    <w:rsid w:val="00127333"/>
    <w:rsid w:val="00150643"/>
    <w:rsid w:val="001547D6"/>
    <w:rsid w:val="00177D70"/>
    <w:rsid w:val="001B097D"/>
    <w:rsid w:val="001B7C08"/>
    <w:rsid w:val="00215755"/>
    <w:rsid w:val="00220C74"/>
    <w:rsid w:val="00226A9D"/>
    <w:rsid w:val="002555D9"/>
    <w:rsid w:val="00267CD8"/>
    <w:rsid w:val="00270174"/>
    <w:rsid w:val="00276704"/>
    <w:rsid w:val="00291616"/>
    <w:rsid w:val="00295A7F"/>
    <w:rsid w:val="002B280F"/>
    <w:rsid w:val="002B3187"/>
    <w:rsid w:val="002D07E1"/>
    <w:rsid w:val="002D7DC0"/>
    <w:rsid w:val="003121A1"/>
    <w:rsid w:val="00323EC3"/>
    <w:rsid w:val="00332500"/>
    <w:rsid w:val="00351A33"/>
    <w:rsid w:val="00360E79"/>
    <w:rsid w:val="0037054B"/>
    <w:rsid w:val="00371BB8"/>
    <w:rsid w:val="00375F91"/>
    <w:rsid w:val="00376189"/>
    <w:rsid w:val="003778FF"/>
    <w:rsid w:val="00396AA1"/>
    <w:rsid w:val="003C70CD"/>
    <w:rsid w:val="003E3C9F"/>
    <w:rsid w:val="003F30BB"/>
    <w:rsid w:val="00403136"/>
    <w:rsid w:val="00410ACE"/>
    <w:rsid w:val="00436029"/>
    <w:rsid w:val="00455FBF"/>
    <w:rsid w:val="00482258"/>
    <w:rsid w:val="004A799F"/>
    <w:rsid w:val="004B0DF7"/>
    <w:rsid w:val="004B15E8"/>
    <w:rsid w:val="004C0AA0"/>
    <w:rsid w:val="004D0C90"/>
    <w:rsid w:val="004D6E85"/>
    <w:rsid w:val="004D7701"/>
    <w:rsid w:val="004F2272"/>
    <w:rsid w:val="004F2988"/>
    <w:rsid w:val="00522B35"/>
    <w:rsid w:val="00591115"/>
    <w:rsid w:val="0059527F"/>
    <w:rsid w:val="005B4C03"/>
    <w:rsid w:val="005C7F1B"/>
    <w:rsid w:val="00610109"/>
    <w:rsid w:val="0061191B"/>
    <w:rsid w:val="006137A1"/>
    <w:rsid w:val="00631919"/>
    <w:rsid w:val="0069102C"/>
    <w:rsid w:val="006978D9"/>
    <w:rsid w:val="006E5598"/>
    <w:rsid w:val="00707821"/>
    <w:rsid w:val="0072763E"/>
    <w:rsid w:val="00751B40"/>
    <w:rsid w:val="007602CE"/>
    <w:rsid w:val="00780948"/>
    <w:rsid w:val="007E4A82"/>
    <w:rsid w:val="00806DA5"/>
    <w:rsid w:val="00814F19"/>
    <w:rsid w:val="0081619E"/>
    <w:rsid w:val="00834991"/>
    <w:rsid w:val="00843951"/>
    <w:rsid w:val="00851176"/>
    <w:rsid w:val="00856BE0"/>
    <w:rsid w:val="00876C46"/>
    <w:rsid w:val="008A1149"/>
    <w:rsid w:val="008A6D53"/>
    <w:rsid w:val="008B3287"/>
    <w:rsid w:val="008C066D"/>
    <w:rsid w:val="008C24FD"/>
    <w:rsid w:val="008C26C9"/>
    <w:rsid w:val="008C7366"/>
    <w:rsid w:val="008E3FFD"/>
    <w:rsid w:val="0092324B"/>
    <w:rsid w:val="009343FF"/>
    <w:rsid w:val="009437A0"/>
    <w:rsid w:val="00971B85"/>
    <w:rsid w:val="00975B6B"/>
    <w:rsid w:val="009A2C09"/>
    <w:rsid w:val="009A4CF8"/>
    <w:rsid w:val="009B441F"/>
    <w:rsid w:val="009B55A0"/>
    <w:rsid w:val="009C3427"/>
    <w:rsid w:val="009D63CC"/>
    <w:rsid w:val="009F0C56"/>
    <w:rsid w:val="00A87424"/>
    <w:rsid w:val="00B0561C"/>
    <w:rsid w:val="00B47825"/>
    <w:rsid w:val="00B566CE"/>
    <w:rsid w:val="00B64371"/>
    <w:rsid w:val="00B64A44"/>
    <w:rsid w:val="00B76C91"/>
    <w:rsid w:val="00BA2C54"/>
    <w:rsid w:val="00BB531C"/>
    <w:rsid w:val="00BF270B"/>
    <w:rsid w:val="00C05BB6"/>
    <w:rsid w:val="00C3015F"/>
    <w:rsid w:val="00C446E5"/>
    <w:rsid w:val="00C606D5"/>
    <w:rsid w:val="00C61771"/>
    <w:rsid w:val="00C65D2C"/>
    <w:rsid w:val="00C7407B"/>
    <w:rsid w:val="00C87267"/>
    <w:rsid w:val="00CF2873"/>
    <w:rsid w:val="00CF73B1"/>
    <w:rsid w:val="00D31D5D"/>
    <w:rsid w:val="00D33F67"/>
    <w:rsid w:val="00D417DF"/>
    <w:rsid w:val="00D46787"/>
    <w:rsid w:val="00D675E0"/>
    <w:rsid w:val="00D7410E"/>
    <w:rsid w:val="00DA05EB"/>
    <w:rsid w:val="00DA3C2C"/>
    <w:rsid w:val="00DB525C"/>
    <w:rsid w:val="00DF10E2"/>
    <w:rsid w:val="00E07295"/>
    <w:rsid w:val="00E07684"/>
    <w:rsid w:val="00E158AC"/>
    <w:rsid w:val="00E36036"/>
    <w:rsid w:val="00E45426"/>
    <w:rsid w:val="00E46DBA"/>
    <w:rsid w:val="00EA0741"/>
    <w:rsid w:val="00EA3837"/>
    <w:rsid w:val="00EA6E71"/>
    <w:rsid w:val="00ED075F"/>
    <w:rsid w:val="00ED0BCE"/>
    <w:rsid w:val="00EF3C12"/>
    <w:rsid w:val="00EF7643"/>
    <w:rsid w:val="00F07728"/>
    <w:rsid w:val="00F65BC3"/>
    <w:rsid w:val="00F66B52"/>
    <w:rsid w:val="00F73FC4"/>
    <w:rsid w:val="00F83AEA"/>
    <w:rsid w:val="00F95824"/>
    <w:rsid w:val="00FC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96AE3"/>
  <w15:chartTrackingRefBased/>
  <w15:docId w15:val="{301E1902-1BB9-42C6-A318-3C63FBDA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7B"/>
    <w:pPr>
      <w:ind w:left="720"/>
      <w:contextualSpacing/>
    </w:pPr>
  </w:style>
  <w:style w:type="table" w:styleId="TableGrid">
    <w:name w:val="Table Grid"/>
    <w:basedOn w:val="TableNormal"/>
    <w:uiPriority w:val="39"/>
    <w:rsid w:val="0075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32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7424"/>
    <w:pPr>
      <w:spacing w:after="0" w:line="240" w:lineRule="auto"/>
    </w:pPr>
  </w:style>
  <w:style w:type="paragraph" w:styleId="BalloonText">
    <w:name w:val="Balloon Text"/>
    <w:basedOn w:val="Normal"/>
    <w:link w:val="BalloonTextChar"/>
    <w:uiPriority w:val="99"/>
    <w:semiHidden/>
    <w:unhideWhenUsed/>
    <w:rsid w:val="00A8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24"/>
    <w:rPr>
      <w:rFonts w:ascii="Segoe UI" w:hAnsi="Segoe UI" w:cs="Segoe UI"/>
      <w:sz w:val="18"/>
      <w:szCs w:val="18"/>
    </w:rPr>
  </w:style>
  <w:style w:type="character" w:styleId="Hyperlink">
    <w:name w:val="Hyperlink"/>
    <w:basedOn w:val="DefaultParagraphFont"/>
    <w:uiPriority w:val="99"/>
    <w:unhideWhenUsed/>
    <w:rsid w:val="00E07684"/>
    <w:rPr>
      <w:color w:val="0000FF"/>
      <w:u w:val="single"/>
    </w:rPr>
  </w:style>
  <w:style w:type="character" w:styleId="CommentReference">
    <w:name w:val="annotation reference"/>
    <w:basedOn w:val="DefaultParagraphFont"/>
    <w:uiPriority w:val="99"/>
    <w:semiHidden/>
    <w:unhideWhenUsed/>
    <w:rsid w:val="00094358"/>
    <w:rPr>
      <w:sz w:val="16"/>
      <w:szCs w:val="16"/>
    </w:rPr>
  </w:style>
  <w:style w:type="paragraph" w:styleId="CommentText">
    <w:name w:val="annotation text"/>
    <w:basedOn w:val="Normal"/>
    <w:link w:val="CommentTextChar"/>
    <w:uiPriority w:val="99"/>
    <w:semiHidden/>
    <w:unhideWhenUsed/>
    <w:rsid w:val="00094358"/>
    <w:pPr>
      <w:spacing w:line="240" w:lineRule="auto"/>
    </w:pPr>
    <w:rPr>
      <w:sz w:val="20"/>
      <w:szCs w:val="20"/>
    </w:rPr>
  </w:style>
  <w:style w:type="character" w:customStyle="1" w:styleId="CommentTextChar">
    <w:name w:val="Comment Text Char"/>
    <w:basedOn w:val="DefaultParagraphFont"/>
    <w:link w:val="CommentText"/>
    <w:uiPriority w:val="99"/>
    <w:semiHidden/>
    <w:rsid w:val="00094358"/>
    <w:rPr>
      <w:sz w:val="20"/>
      <w:szCs w:val="20"/>
    </w:rPr>
  </w:style>
  <w:style w:type="paragraph" w:styleId="CommentSubject">
    <w:name w:val="annotation subject"/>
    <w:basedOn w:val="CommentText"/>
    <w:next w:val="CommentText"/>
    <w:link w:val="CommentSubjectChar"/>
    <w:uiPriority w:val="99"/>
    <w:semiHidden/>
    <w:unhideWhenUsed/>
    <w:rsid w:val="00094358"/>
    <w:rPr>
      <w:b/>
      <w:bCs/>
    </w:rPr>
  </w:style>
  <w:style w:type="character" w:customStyle="1" w:styleId="CommentSubjectChar">
    <w:name w:val="Comment Subject Char"/>
    <w:basedOn w:val="CommentTextChar"/>
    <w:link w:val="CommentSubject"/>
    <w:uiPriority w:val="99"/>
    <w:semiHidden/>
    <w:rsid w:val="00094358"/>
    <w:rPr>
      <w:b/>
      <w:bCs/>
      <w:sz w:val="20"/>
      <w:szCs w:val="20"/>
    </w:rPr>
  </w:style>
  <w:style w:type="paragraph" w:styleId="Header">
    <w:name w:val="header"/>
    <w:basedOn w:val="Normal"/>
    <w:link w:val="HeaderChar"/>
    <w:uiPriority w:val="99"/>
    <w:unhideWhenUsed/>
    <w:rsid w:val="00073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3B"/>
  </w:style>
  <w:style w:type="paragraph" w:styleId="Footer">
    <w:name w:val="footer"/>
    <w:basedOn w:val="Normal"/>
    <w:link w:val="FooterChar"/>
    <w:uiPriority w:val="99"/>
    <w:unhideWhenUsed/>
    <w:rsid w:val="00073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3B"/>
  </w:style>
  <w:style w:type="character" w:styleId="UnresolvedMention">
    <w:name w:val="Unresolved Mention"/>
    <w:basedOn w:val="DefaultParagraphFont"/>
    <w:uiPriority w:val="99"/>
    <w:semiHidden/>
    <w:unhideWhenUsed/>
    <w:rsid w:val="0011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7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es.org/resources/improving-indoor-air-qualit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2" ma:contentTypeDescription="Create a new document." ma:contentTypeScope="" ma:versionID="077c23979e8bf92b682da97737fba646">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01b44c97246e2102939ec189c2043184"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ED750-4B8D-43E4-A5A1-8112E78185E6}">
  <ds:schemaRefs>
    <ds:schemaRef ds:uri="http://schemas.microsoft.com/sharepoint/v3/contenttype/forms"/>
  </ds:schemaRefs>
</ds:datastoreItem>
</file>

<file path=customXml/itemProps2.xml><?xml version="1.0" encoding="utf-8"?>
<ds:datastoreItem xmlns:ds="http://schemas.openxmlformats.org/officeDocument/2006/customXml" ds:itemID="{C4C8583D-8765-4EBD-B4D9-7D9BB9DC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7336C-AD3D-42C0-AE95-EC9DC5650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Kopecky</dc:creator>
  <cp:keywords/>
  <dc:description/>
  <cp:lastModifiedBy>Danielle Kopecky</cp:lastModifiedBy>
  <cp:revision>10</cp:revision>
  <dcterms:created xsi:type="dcterms:W3CDTF">2021-09-17T13:42:00Z</dcterms:created>
  <dcterms:modified xsi:type="dcterms:W3CDTF">2021-09-21T15:56:00Z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ies>
</file>