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08A6AA" w14:textId="73AAD2BA" w:rsidR="008B3287" w:rsidRPr="00B76C91" w:rsidRDefault="00F66B52" w:rsidP="00A87424">
      <w:pPr>
        <w:jc w:val="center"/>
        <w:rPr>
          <w:b/>
          <w:bCs/>
          <w:color w:val="B84809"/>
          <w:sz w:val="28"/>
          <w:szCs w:val="28"/>
        </w:rPr>
      </w:pPr>
      <w:r w:rsidRPr="00B76C91">
        <w:rPr>
          <w:b/>
          <w:bCs/>
          <w:i/>
          <w:iCs/>
          <w:color w:val="B84809"/>
          <w:sz w:val="28"/>
          <w:szCs w:val="28"/>
        </w:rPr>
        <w:t>e</w:t>
      </w:r>
      <w:r w:rsidR="00A87424" w:rsidRPr="00B76C91">
        <w:rPr>
          <w:b/>
          <w:bCs/>
          <w:i/>
          <w:iCs/>
          <w:color w:val="B84809"/>
          <w:sz w:val="28"/>
          <w:szCs w:val="28"/>
        </w:rPr>
        <w:t>nvironmental S</w:t>
      </w:r>
      <w:r w:rsidR="00856BE0" w:rsidRPr="00B76C91">
        <w:rPr>
          <w:b/>
          <w:bCs/>
          <w:i/>
          <w:iCs/>
          <w:color w:val="B84809"/>
          <w:sz w:val="28"/>
          <w:szCs w:val="28"/>
        </w:rPr>
        <w:t>CIENTIST</w:t>
      </w:r>
      <w:r w:rsidR="00A87424" w:rsidRPr="00B76C91">
        <w:rPr>
          <w:b/>
          <w:bCs/>
          <w:color w:val="B84809"/>
          <w:sz w:val="28"/>
          <w:szCs w:val="28"/>
        </w:rPr>
        <w:t xml:space="preserve"> journal: </w:t>
      </w:r>
      <w:r w:rsidR="00E36036" w:rsidRPr="00B76C91">
        <w:rPr>
          <w:b/>
          <w:bCs/>
          <w:color w:val="B84809"/>
          <w:sz w:val="28"/>
          <w:szCs w:val="28"/>
        </w:rPr>
        <w:t xml:space="preserve">learning resource </w:t>
      </w:r>
      <w:r w:rsidRPr="00B76C91">
        <w:rPr>
          <w:b/>
          <w:bCs/>
          <w:color w:val="B84809"/>
          <w:sz w:val="28"/>
          <w:szCs w:val="28"/>
        </w:rPr>
        <w:t>notes</w:t>
      </w:r>
    </w:p>
    <w:p w14:paraId="066ECA77" w14:textId="592A1BA3" w:rsidR="00D33F67" w:rsidRDefault="00707821" w:rsidP="00D33F67">
      <w:pPr>
        <w:pStyle w:val="NoSpacing"/>
        <w:jc w:val="both"/>
      </w:pPr>
      <w:r w:rsidRPr="00707821">
        <w:t xml:space="preserve">The purpose of </w:t>
      </w:r>
      <w:r>
        <w:t>th</w:t>
      </w:r>
      <w:r w:rsidR="00856BE0">
        <w:t>ese</w:t>
      </w:r>
      <w:r>
        <w:t xml:space="preserve"> educational resource</w:t>
      </w:r>
      <w:r w:rsidRPr="00707821">
        <w:t xml:space="preserve"> </w:t>
      </w:r>
      <w:r w:rsidR="00D33F67">
        <w:t>notes</w:t>
      </w:r>
      <w:r w:rsidR="00A87424">
        <w:t xml:space="preserve"> </w:t>
      </w:r>
      <w:r w:rsidRPr="00707821">
        <w:t>is to provide a format for informal, seminar-style discussions of the topics explored</w:t>
      </w:r>
      <w:r>
        <w:t xml:space="preserve"> in the </w:t>
      </w:r>
      <w:r w:rsidR="00D33F67">
        <w:t xml:space="preserve">latest </w:t>
      </w:r>
      <w:r w:rsidR="004B0DF7">
        <w:t xml:space="preserve">edition of the </w:t>
      </w:r>
      <w:r>
        <w:t>journal</w:t>
      </w:r>
      <w:r w:rsidR="00D33F67">
        <w:t xml:space="preserve"> of the Institution of Environmental Sciences</w:t>
      </w:r>
      <w:r>
        <w:t xml:space="preserve">. </w:t>
      </w:r>
    </w:p>
    <w:p w14:paraId="2133A42D" w14:textId="44489F8A" w:rsidR="00D33F67" w:rsidRDefault="00F83AEA" w:rsidP="00D33F67">
      <w:pPr>
        <w:pStyle w:val="NoSpacing"/>
        <w:jc w:val="both"/>
      </w:pPr>
      <w:r>
        <w:t xml:space="preserve"> </w:t>
      </w:r>
    </w:p>
    <w:p w14:paraId="7B0CD0BC" w14:textId="2454D477" w:rsidR="00707821" w:rsidRDefault="00707821" w:rsidP="00D33F67">
      <w:pPr>
        <w:pStyle w:val="NoSpacing"/>
        <w:jc w:val="both"/>
      </w:pPr>
      <w:r>
        <w:t>T</w:t>
      </w:r>
      <w:r w:rsidRPr="00707821">
        <w:t>hrough discussion of the ideas and issues presented</w:t>
      </w:r>
      <w:r w:rsidR="00D33F67">
        <w:t xml:space="preserve"> within the journal</w:t>
      </w:r>
      <w:r w:rsidRPr="00707821">
        <w:t xml:space="preserve">, </w:t>
      </w:r>
      <w:r w:rsidR="00856BE0">
        <w:t>they</w:t>
      </w:r>
      <w:r>
        <w:t xml:space="preserve"> </w:t>
      </w:r>
      <w:r w:rsidRPr="00707821">
        <w:t xml:space="preserve">aim to supplement and enhance students’ knowledge and understanding </w:t>
      </w:r>
      <w:r>
        <w:t>of</w:t>
      </w:r>
      <w:r w:rsidRPr="00707821">
        <w:t xml:space="preserve"> a broad range of environmental science issues</w:t>
      </w:r>
      <w:r>
        <w:t xml:space="preserve"> </w:t>
      </w:r>
      <w:r w:rsidR="00D33F67">
        <w:t xml:space="preserve">and </w:t>
      </w:r>
      <w:r w:rsidR="00856BE0">
        <w:t>provide</w:t>
      </w:r>
      <w:r w:rsidR="00D33F67">
        <w:t xml:space="preserve"> insights into the professional concerns of practising environmental scientists.</w:t>
      </w:r>
    </w:p>
    <w:p w14:paraId="4CF98B93" w14:textId="77777777" w:rsidR="006137A1" w:rsidRDefault="006137A1" w:rsidP="008A1149">
      <w:pPr>
        <w:pStyle w:val="NoSpacing"/>
        <w:rPr>
          <w:b/>
          <w:bCs/>
        </w:rPr>
      </w:pPr>
    </w:p>
    <w:p w14:paraId="2762604C" w14:textId="6567B05F" w:rsidR="008A1149" w:rsidRPr="00D33F67" w:rsidRDefault="008A1149" w:rsidP="008A1149">
      <w:pPr>
        <w:pStyle w:val="NoSpacing"/>
        <w:rPr>
          <w:b/>
          <w:bCs/>
        </w:rPr>
      </w:pPr>
      <w:r w:rsidRPr="00D33F67">
        <w:rPr>
          <w:b/>
          <w:bCs/>
        </w:rPr>
        <w:t>Articles in focus</w:t>
      </w:r>
      <w:r>
        <w:rPr>
          <w:b/>
          <w:bCs/>
        </w:rPr>
        <w:t xml:space="preserve"> </w:t>
      </w:r>
    </w:p>
    <w:p w14:paraId="0414F930" w14:textId="77777777" w:rsidR="008A1149" w:rsidRPr="00D33F67" w:rsidRDefault="008A1149" w:rsidP="008A1149">
      <w:pPr>
        <w:pStyle w:val="NoSpacing"/>
        <w:jc w:val="both"/>
        <w:rPr>
          <w:color w:val="000000"/>
        </w:rPr>
      </w:pPr>
      <w:r>
        <w:t>The following articles have been selected as particularly relevant for in-depth discussion, allowing for wider debate of the key elements of the article topic. S</w:t>
      </w:r>
      <w:r w:rsidRPr="00876C46">
        <w:rPr>
          <w:rFonts w:ascii="Calibri" w:hAnsi="Calibri"/>
          <w:color w:val="000000"/>
        </w:rPr>
        <w:t xml:space="preserve">ome </w:t>
      </w:r>
      <w:r>
        <w:t>specific</w:t>
      </w:r>
      <w:r w:rsidRPr="00876C46">
        <w:rPr>
          <w:rFonts w:ascii="Calibri" w:hAnsi="Calibri"/>
          <w:color w:val="000000"/>
        </w:rPr>
        <w:t xml:space="preserve"> questions</w:t>
      </w:r>
      <w:r>
        <w:t>/points</w:t>
      </w:r>
      <w:r w:rsidRPr="00876C46">
        <w:rPr>
          <w:rFonts w:ascii="Calibri" w:hAnsi="Calibri"/>
          <w:color w:val="000000"/>
        </w:rPr>
        <w:t xml:space="preserve"> you may </w:t>
      </w:r>
      <w:r>
        <w:t>wish</w:t>
      </w:r>
      <w:r w:rsidRPr="00876C46">
        <w:rPr>
          <w:rFonts w:ascii="Calibri" w:hAnsi="Calibri"/>
          <w:color w:val="000000"/>
        </w:rPr>
        <w:t xml:space="preserve"> to consider when reading and discussing </w:t>
      </w:r>
      <w:r>
        <w:t xml:space="preserve">these </w:t>
      </w:r>
      <w:r w:rsidRPr="00876C46">
        <w:rPr>
          <w:rFonts w:ascii="Calibri" w:hAnsi="Calibri"/>
          <w:color w:val="000000"/>
        </w:rPr>
        <w:t>articles </w:t>
      </w:r>
      <w:r>
        <w:t>are outlined.</w:t>
      </w:r>
      <w:r w:rsidRPr="00876C46">
        <w:rPr>
          <w:color w:val="000000"/>
        </w:rPr>
        <w:t xml:space="preserve"> </w:t>
      </w:r>
    </w:p>
    <w:p w14:paraId="63BB876A" w14:textId="384FE011" w:rsidR="00A87424" w:rsidRDefault="00A87424" w:rsidP="00A87424">
      <w:pPr>
        <w:pStyle w:val="NoSpacing"/>
      </w:pPr>
    </w:p>
    <w:tbl>
      <w:tblPr>
        <w:tblStyle w:val="TableGrid"/>
        <w:tblW w:w="9498" w:type="dxa"/>
        <w:tblInd w:w="-5" w:type="dxa"/>
        <w:tblLook w:val="04A0" w:firstRow="1" w:lastRow="0" w:firstColumn="1" w:lastColumn="0" w:noHBand="0" w:noVBand="1"/>
      </w:tblPr>
      <w:tblGrid>
        <w:gridCol w:w="1696"/>
        <w:gridCol w:w="7802"/>
      </w:tblGrid>
      <w:tr w:rsidR="00751B40" w14:paraId="148A3346" w14:textId="77777777" w:rsidTr="00220C74">
        <w:trPr>
          <w:trHeight w:val="1375"/>
        </w:trPr>
        <w:tc>
          <w:tcPr>
            <w:tcW w:w="1696" w:type="dxa"/>
            <w:shd w:val="clear" w:color="auto" w:fill="D9D9D9" w:themeFill="background1" w:themeFillShade="D9"/>
            <w:vAlign w:val="center"/>
          </w:tcPr>
          <w:p w14:paraId="5ED7C063" w14:textId="1C4C0E94" w:rsidR="00751B40" w:rsidRPr="00751B40" w:rsidRDefault="00751B40" w:rsidP="009B441F">
            <w:r w:rsidRPr="00751B40">
              <w:t>Learning outcomes</w:t>
            </w:r>
          </w:p>
        </w:tc>
        <w:tc>
          <w:tcPr>
            <w:tcW w:w="7802" w:type="dxa"/>
            <w:vAlign w:val="center"/>
          </w:tcPr>
          <w:p w14:paraId="4C7BB426" w14:textId="28B71D3E" w:rsidR="00751B40" w:rsidRDefault="00751B40" w:rsidP="00EA6E71">
            <w:pPr>
              <w:pStyle w:val="ListParagraph"/>
              <w:numPr>
                <w:ilvl w:val="0"/>
                <w:numId w:val="2"/>
              </w:numPr>
            </w:pPr>
            <w:r>
              <w:t xml:space="preserve">Understand the main ideas discussed in the </w:t>
            </w:r>
            <w:proofErr w:type="gramStart"/>
            <w:r>
              <w:t>publication</w:t>
            </w:r>
            <w:proofErr w:type="gramEnd"/>
            <w:r>
              <w:t xml:space="preserve"> </w:t>
            </w:r>
          </w:p>
          <w:p w14:paraId="345234AA" w14:textId="143C41E3" w:rsidR="00751B40" w:rsidRDefault="00751B40" w:rsidP="00DA05EB">
            <w:pPr>
              <w:pStyle w:val="ListParagraph"/>
              <w:numPr>
                <w:ilvl w:val="0"/>
                <w:numId w:val="2"/>
              </w:numPr>
            </w:pPr>
            <w:r>
              <w:t xml:space="preserve">Describe the main conclusions and their relevance to the </w:t>
            </w:r>
            <w:r w:rsidR="00BA2C54">
              <w:t xml:space="preserve">environmental science </w:t>
            </w:r>
            <w:proofErr w:type="gramStart"/>
            <w:r w:rsidR="00332500">
              <w:t>sector</w:t>
            </w:r>
            <w:proofErr w:type="gramEnd"/>
          </w:p>
          <w:p w14:paraId="15FC8BC1" w14:textId="7A3C8215" w:rsidR="005C7F1B" w:rsidRPr="00751B40" w:rsidRDefault="00751B40" w:rsidP="00220C74">
            <w:pPr>
              <w:pStyle w:val="ListParagraph"/>
              <w:numPr>
                <w:ilvl w:val="0"/>
                <w:numId w:val="2"/>
              </w:numPr>
            </w:pPr>
            <w:r>
              <w:t>Critically reflect on the main concepts discussed</w:t>
            </w:r>
          </w:p>
        </w:tc>
      </w:tr>
      <w:tr w:rsidR="00751B40" w14:paraId="7D814482" w14:textId="77777777" w:rsidTr="00220C74">
        <w:trPr>
          <w:trHeight w:val="3110"/>
        </w:trPr>
        <w:tc>
          <w:tcPr>
            <w:tcW w:w="1696" w:type="dxa"/>
            <w:shd w:val="clear" w:color="auto" w:fill="D9D9D9" w:themeFill="background1" w:themeFillShade="D9"/>
            <w:vAlign w:val="center"/>
          </w:tcPr>
          <w:p w14:paraId="14DDB4D6" w14:textId="7D35C2DA" w:rsidR="00751B40" w:rsidRPr="00751B40" w:rsidRDefault="008B3287" w:rsidP="009B441F">
            <w:r>
              <w:t>Format</w:t>
            </w:r>
          </w:p>
        </w:tc>
        <w:tc>
          <w:tcPr>
            <w:tcW w:w="7802" w:type="dxa"/>
            <w:vAlign w:val="center"/>
          </w:tcPr>
          <w:p w14:paraId="29AC5482" w14:textId="2EC4F823" w:rsidR="006137A1" w:rsidRDefault="006137A1" w:rsidP="006137A1">
            <w:pPr>
              <w:pStyle w:val="NoSpacing"/>
              <w:numPr>
                <w:ilvl w:val="0"/>
                <w:numId w:val="2"/>
              </w:numPr>
            </w:pPr>
            <w:r>
              <w:t xml:space="preserve">Articles of particular interest </w:t>
            </w:r>
            <w:r w:rsidR="00455FBF">
              <w:t xml:space="preserve">are </w:t>
            </w:r>
            <w:r>
              <w:t xml:space="preserve">to be selected and shared with the group to read ahead of the discussion. Suggestions of focus articles are attached </w:t>
            </w:r>
            <w:proofErr w:type="gramStart"/>
            <w:r>
              <w:t>here</w:t>
            </w:r>
            <w:proofErr w:type="gramEnd"/>
          </w:p>
          <w:p w14:paraId="35C5A3C2" w14:textId="2E3D3BD0" w:rsidR="008A1149" w:rsidRDefault="008A1149" w:rsidP="008A1149">
            <w:pPr>
              <w:pStyle w:val="NoSpacing"/>
              <w:numPr>
                <w:ilvl w:val="0"/>
                <w:numId w:val="2"/>
              </w:numPr>
            </w:pPr>
            <w:r>
              <w:t xml:space="preserve">Small group discussions of articles that closely relate to programme content to supplement </w:t>
            </w:r>
            <w:proofErr w:type="gramStart"/>
            <w:r>
              <w:t>learning</w:t>
            </w:r>
            <w:proofErr w:type="gramEnd"/>
          </w:p>
          <w:p w14:paraId="09A2CECB" w14:textId="34F176BE" w:rsidR="008A1149" w:rsidRDefault="00226A9D" w:rsidP="00D33F67">
            <w:pPr>
              <w:pStyle w:val="NoSpacing"/>
              <w:numPr>
                <w:ilvl w:val="0"/>
                <w:numId w:val="2"/>
              </w:numPr>
            </w:pPr>
            <w:r>
              <w:t>D</w:t>
            </w:r>
            <w:r w:rsidR="008A1149">
              <w:t xml:space="preserve">iscussions can be led by participants or the tutor, using the ‘articles in focus’ resource to prompt debate and aid the </w:t>
            </w:r>
            <w:proofErr w:type="gramStart"/>
            <w:r w:rsidR="008A1149">
              <w:t>conversation</w:t>
            </w:r>
            <w:proofErr w:type="gramEnd"/>
          </w:p>
          <w:p w14:paraId="03A3DEA3" w14:textId="358E21E5" w:rsidR="00226A9D" w:rsidRDefault="00095DF9" w:rsidP="00D33F67">
            <w:pPr>
              <w:pStyle w:val="NoSpacing"/>
              <w:numPr>
                <w:ilvl w:val="0"/>
                <w:numId w:val="2"/>
              </w:numPr>
            </w:pPr>
            <w:r w:rsidRPr="00095DF9">
              <w:t>The suggested discussion points</w:t>
            </w:r>
            <w:r w:rsidR="00226A9D">
              <w:t xml:space="preserve"> and </w:t>
            </w:r>
            <w:r w:rsidRPr="00095DF9">
              <w:t xml:space="preserve">questions provided in this pack for selected articles can be used as a starting point to guide the </w:t>
            </w:r>
            <w:proofErr w:type="gramStart"/>
            <w:r w:rsidRPr="00095DF9">
              <w:t>discussion</w:t>
            </w:r>
            <w:proofErr w:type="gramEnd"/>
            <w:r w:rsidR="000E16BF">
              <w:t xml:space="preserve"> </w:t>
            </w:r>
          </w:p>
          <w:p w14:paraId="186F3642" w14:textId="3637562D" w:rsidR="005C7F1B" w:rsidRPr="00D33F67" w:rsidRDefault="00226A9D" w:rsidP="00220C74">
            <w:pPr>
              <w:pStyle w:val="NoSpacing"/>
              <w:numPr>
                <w:ilvl w:val="0"/>
                <w:numId w:val="2"/>
              </w:numPr>
            </w:pPr>
            <w:r>
              <w:t>S</w:t>
            </w:r>
            <w:r w:rsidR="000E16BF">
              <w:t>tudents</w:t>
            </w:r>
            <w:r>
              <w:t xml:space="preserve"> can be encouraged to</w:t>
            </w:r>
            <w:r w:rsidR="000E16BF">
              <w:t xml:space="preserve"> choose to discuss any of the other articles within the issue</w:t>
            </w:r>
          </w:p>
        </w:tc>
      </w:tr>
    </w:tbl>
    <w:p w14:paraId="276F7F95" w14:textId="7112DAA3" w:rsidR="00C87267" w:rsidRPr="00C87267" w:rsidRDefault="00C87267" w:rsidP="00111858">
      <w:pPr>
        <w:rPr>
          <w:sz w:val="10"/>
          <w:szCs w:val="10"/>
        </w:rPr>
      </w:pPr>
    </w:p>
    <w:p w14:paraId="0565DA0A" w14:textId="7B5A83FD" w:rsidR="00B76C91" w:rsidRDefault="00C87267" w:rsidP="00111858">
      <w:pPr>
        <w:rPr>
          <w:b/>
          <w:bCs/>
        </w:rPr>
      </w:pPr>
      <w:r w:rsidRPr="00C87267">
        <w:rPr>
          <w:noProof/>
          <w:sz w:val="10"/>
          <w:szCs w:val="10"/>
        </w:rPr>
        <w:drawing>
          <wp:anchor distT="0" distB="0" distL="114300" distR="114300" simplePos="0" relativeHeight="251659264" behindDoc="0" locked="0" layoutInCell="1" allowOverlap="1" wp14:anchorId="00B375D4" wp14:editId="44DE19DA">
            <wp:simplePos x="0" y="0"/>
            <wp:positionH relativeFrom="margin">
              <wp:align>left</wp:align>
            </wp:positionH>
            <wp:positionV relativeFrom="paragraph">
              <wp:posOffset>31115</wp:posOffset>
            </wp:positionV>
            <wp:extent cx="1045210" cy="1511300"/>
            <wp:effectExtent l="0" t="0" r="2540" b="0"/>
            <wp:wrapSquare wrapText="bothSides"/>
            <wp:docPr id="1" name="Picture 1"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with low confidence"/>
                    <pic:cNvPicPr/>
                  </pic:nvPicPr>
                  <pic:blipFill>
                    <a:blip r:embed="rId10">
                      <a:extLst>
                        <a:ext uri="{28A0092B-C50C-407E-A947-70E740481C1C}">
                          <a14:useLocalDpi xmlns:a14="http://schemas.microsoft.com/office/drawing/2010/main" val="0"/>
                        </a:ext>
                      </a:extLst>
                    </a:blip>
                    <a:stretch>
                      <a:fillRect/>
                    </a:stretch>
                  </pic:blipFill>
                  <pic:spPr>
                    <a:xfrm>
                      <a:off x="0" y="0"/>
                      <a:ext cx="1045210" cy="1511300"/>
                    </a:xfrm>
                    <a:prstGeom prst="rect">
                      <a:avLst/>
                    </a:prstGeom>
                  </pic:spPr>
                </pic:pic>
              </a:graphicData>
            </a:graphic>
            <wp14:sizeRelH relativeFrom="margin">
              <wp14:pctWidth>0</wp14:pctWidth>
            </wp14:sizeRelH>
            <wp14:sizeRelV relativeFrom="margin">
              <wp14:pctHeight>0</wp14:pctHeight>
            </wp14:sizeRelV>
          </wp:anchor>
        </w:drawing>
      </w:r>
      <w:r w:rsidR="00B76C91" w:rsidRPr="00B76C91">
        <w:t>e</w:t>
      </w:r>
      <w:r w:rsidR="00111858" w:rsidRPr="00B76C91">
        <w:rPr>
          <w:i/>
          <w:iCs/>
        </w:rPr>
        <w:t>nvironmental S</w:t>
      </w:r>
      <w:r w:rsidR="00B76C91" w:rsidRPr="00B76C91">
        <w:rPr>
          <w:i/>
          <w:iCs/>
        </w:rPr>
        <w:t>CIENTIST</w:t>
      </w:r>
      <w:r w:rsidR="00B76C91">
        <w:rPr>
          <w:b/>
          <w:bCs/>
        </w:rPr>
        <w:br/>
      </w:r>
      <w:r w:rsidR="002B3187">
        <w:rPr>
          <w:b/>
          <w:bCs/>
        </w:rPr>
        <w:t xml:space="preserve">Creating a sustainable future: </w:t>
      </w:r>
      <w:r>
        <w:rPr>
          <w:b/>
          <w:bCs/>
        </w:rPr>
        <w:t>t</w:t>
      </w:r>
      <w:r w:rsidR="002B3187">
        <w:rPr>
          <w:b/>
          <w:bCs/>
        </w:rPr>
        <w:t>he Decade of Ocean Science</w:t>
      </w:r>
      <w:r w:rsidR="00B76C91">
        <w:rPr>
          <w:b/>
          <w:bCs/>
        </w:rPr>
        <w:br/>
      </w:r>
      <w:r w:rsidR="00B76C91" w:rsidRPr="00B76C91">
        <w:t xml:space="preserve">Vol </w:t>
      </w:r>
      <w:r w:rsidR="002B3187">
        <w:t>30</w:t>
      </w:r>
      <w:r w:rsidR="00B76C91" w:rsidRPr="00B76C91">
        <w:t xml:space="preserve">, Issue </w:t>
      </w:r>
      <w:r w:rsidR="002B3187">
        <w:t>1</w:t>
      </w:r>
    </w:p>
    <w:p w14:paraId="13787593" w14:textId="0877AE5B" w:rsidR="00B76C91" w:rsidRDefault="00C87267" w:rsidP="00D33F67">
      <w:pPr>
        <w:pStyle w:val="NoSpacing"/>
        <w:rPr>
          <w:b/>
          <w:bCs/>
        </w:rPr>
      </w:pPr>
      <w:hyperlink r:id="rId11" w:history="1">
        <w:r w:rsidRPr="009719C8">
          <w:rPr>
            <w:rStyle w:val="Hyperlink"/>
          </w:rPr>
          <w:t>www.the-ies.org/resources/creating-sustainable-future</w:t>
        </w:r>
      </w:hyperlink>
      <w:r>
        <w:t xml:space="preserve"> </w:t>
      </w:r>
    </w:p>
    <w:p w14:paraId="35D00CC9" w14:textId="77777777" w:rsidR="00C446E5" w:rsidRDefault="00C446E5" w:rsidP="00D33F67">
      <w:pPr>
        <w:pStyle w:val="NoSpacing"/>
        <w:rPr>
          <w:b/>
          <w:bCs/>
        </w:rPr>
      </w:pPr>
    </w:p>
    <w:p w14:paraId="22822B39" w14:textId="583D4CE2" w:rsidR="00B76C91" w:rsidRDefault="00B76C91" w:rsidP="00D33F67">
      <w:pPr>
        <w:pStyle w:val="NoSpacing"/>
        <w:rPr>
          <w:b/>
          <w:bCs/>
        </w:rPr>
      </w:pPr>
    </w:p>
    <w:p w14:paraId="42BB59B6" w14:textId="0138A433" w:rsidR="00220C74" w:rsidRDefault="00220C74" w:rsidP="00D33F67">
      <w:pPr>
        <w:pStyle w:val="NoSpacing"/>
        <w:rPr>
          <w:b/>
          <w:bCs/>
        </w:rPr>
      </w:pPr>
    </w:p>
    <w:p w14:paraId="74FFE568" w14:textId="5A868CF3" w:rsidR="00C87267" w:rsidRDefault="00C87267" w:rsidP="00D33F67">
      <w:pPr>
        <w:pStyle w:val="NoSpacing"/>
        <w:rPr>
          <w:b/>
          <w:bCs/>
        </w:rPr>
      </w:pPr>
    </w:p>
    <w:p w14:paraId="76DA32D8" w14:textId="77777777" w:rsidR="00C87267" w:rsidRDefault="00C87267" w:rsidP="00D33F67">
      <w:pPr>
        <w:pStyle w:val="NoSpacing"/>
        <w:rPr>
          <w:b/>
          <w:bCs/>
        </w:rPr>
      </w:pPr>
    </w:p>
    <w:tbl>
      <w:tblPr>
        <w:tblStyle w:val="TableGrid"/>
        <w:tblW w:w="9498" w:type="dxa"/>
        <w:tblInd w:w="-5" w:type="dxa"/>
        <w:tblLook w:val="04A0" w:firstRow="1" w:lastRow="0" w:firstColumn="1" w:lastColumn="0" w:noHBand="0" w:noVBand="1"/>
      </w:tblPr>
      <w:tblGrid>
        <w:gridCol w:w="1696"/>
        <w:gridCol w:w="7802"/>
      </w:tblGrid>
      <w:tr w:rsidR="00111858" w:rsidRPr="008C066D" w14:paraId="29A6278B" w14:textId="77777777" w:rsidTr="00C87267">
        <w:trPr>
          <w:trHeight w:val="699"/>
        </w:trPr>
        <w:tc>
          <w:tcPr>
            <w:tcW w:w="1696" w:type="dxa"/>
            <w:shd w:val="clear" w:color="auto" w:fill="D9D9D9" w:themeFill="background1" w:themeFillShade="D9"/>
            <w:vAlign w:val="center"/>
          </w:tcPr>
          <w:p w14:paraId="66A52193" w14:textId="73686353" w:rsidR="00111858" w:rsidRPr="00111858" w:rsidRDefault="00111858" w:rsidP="00052622">
            <w:pPr>
              <w:rPr>
                <w:b/>
                <w:bCs/>
              </w:rPr>
            </w:pPr>
            <w:r w:rsidRPr="00111858">
              <w:rPr>
                <w:b/>
                <w:bCs/>
              </w:rPr>
              <w:t xml:space="preserve">Topic overview </w:t>
            </w:r>
          </w:p>
        </w:tc>
        <w:tc>
          <w:tcPr>
            <w:tcW w:w="7802" w:type="dxa"/>
            <w:vAlign w:val="center"/>
          </w:tcPr>
          <w:p w14:paraId="49B7C24F" w14:textId="7CE0332A" w:rsidR="00111858" w:rsidRPr="008C066D" w:rsidRDefault="00D417DF" w:rsidP="00856BE0">
            <w:pPr>
              <w:pStyle w:val="NoSpacing"/>
            </w:pPr>
            <w:r>
              <w:t>T</w:t>
            </w:r>
            <w:r w:rsidR="00C87267" w:rsidRPr="00C87267">
              <w:t xml:space="preserve">he wellbeing of people and the ocean is </w:t>
            </w:r>
            <w:r>
              <w:t>linked through a wide range of ecosystem services, include climate regulation and food security</w:t>
            </w:r>
            <w:r w:rsidR="00C87267" w:rsidRPr="00C87267">
              <w:t xml:space="preserve">. The Decade of Ocean Science for Sustainable Development (2021-2030) aims to provide a framework to generate the global ocean science needed for sustainable development of our shared ocean. This edition examines the 10 challenges of the Decade where efforts will be concentrated. </w:t>
            </w:r>
            <w:r w:rsidR="00C87267">
              <w:t>Articles examine</w:t>
            </w:r>
            <w:r w:rsidR="00C87267" w:rsidRPr="00C87267">
              <w:t xml:space="preserve"> t</w:t>
            </w:r>
            <w:r w:rsidR="00C87267">
              <w:t>opics such as t</w:t>
            </w:r>
            <w:r w:rsidR="00C87267" w:rsidRPr="00C87267">
              <w:t>he impacts of climate change on coastal systems, actions needed for sustainable marine food production, building resilience to coastal hazards, and how marine professionals and coastal residents can work together to increase ocean literacy.</w:t>
            </w:r>
          </w:p>
        </w:tc>
      </w:tr>
      <w:tr w:rsidR="00111858" w:rsidRPr="008C066D" w14:paraId="04339BDA" w14:textId="77777777" w:rsidTr="008C26C9">
        <w:trPr>
          <w:trHeight w:val="289"/>
        </w:trPr>
        <w:tc>
          <w:tcPr>
            <w:tcW w:w="9498" w:type="dxa"/>
            <w:gridSpan w:val="2"/>
            <w:shd w:val="clear" w:color="auto" w:fill="D9D9D9" w:themeFill="background1" w:themeFillShade="D9"/>
          </w:tcPr>
          <w:p w14:paraId="61B1FC94" w14:textId="0502C6AA" w:rsidR="00111858" w:rsidRPr="00111858" w:rsidRDefault="00111858" w:rsidP="00111858">
            <w:pPr>
              <w:pStyle w:val="NoSpacing"/>
              <w:jc w:val="center"/>
              <w:rPr>
                <w:b/>
                <w:bCs/>
              </w:rPr>
            </w:pPr>
            <w:r w:rsidRPr="00111858">
              <w:rPr>
                <w:b/>
                <w:bCs/>
              </w:rPr>
              <w:lastRenderedPageBreak/>
              <w:t xml:space="preserve">Articles in </w:t>
            </w:r>
            <w:r w:rsidR="00856BE0">
              <w:rPr>
                <w:b/>
                <w:bCs/>
              </w:rPr>
              <w:t>f</w:t>
            </w:r>
            <w:r w:rsidRPr="00111858">
              <w:rPr>
                <w:b/>
                <w:bCs/>
              </w:rPr>
              <w:t>ocus</w:t>
            </w:r>
          </w:p>
        </w:tc>
      </w:tr>
      <w:tr w:rsidR="00C05BB6" w:rsidRPr="008C066D" w14:paraId="3F49C2ED" w14:textId="77777777" w:rsidTr="00C87267">
        <w:trPr>
          <w:trHeight w:val="965"/>
        </w:trPr>
        <w:tc>
          <w:tcPr>
            <w:tcW w:w="1696" w:type="dxa"/>
            <w:vMerge w:val="restart"/>
            <w:shd w:val="clear" w:color="auto" w:fill="D9D9D9" w:themeFill="background1" w:themeFillShade="D9"/>
            <w:vAlign w:val="center"/>
          </w:tcPr>
          <w:p w14:paraId="07BF7671" w14:textId="25436F83" w:rsidR="006978D9" w:rsidRDefault="00D46787" w:rsidP="00052622">
            <w:pPr>
              <w:rPr>
                <w:b/>
                <w:bCs/>
              </w:rPr>
            </w:pPr>
            <w:r>
              <w:rPr>
                <w:b/>
                <w:bCs/>
              </w:rPr>
              <w:t>A source of nutritious food</w:t>
            </w:r>
          </w:p>
          <w:p w14:paraId="7A5A969D" w14:textId="77777777" w:rsidR="002B3187" w:rsidRDefault="002B3187" w:rsidP="00052622">
            <w:pPr>
              <w:rPr>
                <w:b/>
                <w:bCs/>
              </w:rPr>
            </w:pPr>
          </w:p>
          <w:p w14:paraId="1FA7FD7C" w14:textId="2FF33CD5" w:rsidR="00C05BB6" w:rsidRPr="008C7366" w:rsidRDefault="00834991" w:rsidP="00C05BB6">
            <w:pPr>
              <w:rPr>
                <w:b/>
                <w:bCs/>
              </w:rPr>
            </w:pPr>
            <w:r>
              <w:rPr>
                <w:b/>
                <w:bCs/>
              </w:rPr>
              <w:t xml:space="preserve">Colin </w:t>
            </w:r>
            <w:proofErr w:type="spellStart"/>
            <w:r>
              <w:rPr>
                <w:b/>
                <w:bCs/>
              </w:rPr>
              <w:t>Moffat</w:t>
            </w:r>
            <w:proofErr w:type="spellEnd"/>
            <w:r w:rsidR="00177D70">
              <w:rPr>
                <w:b/>
                <w:bCs/>
              </w:rPr>
              <w:t xml:space="preserve"> </w:t>
            </w:r>
            <w:r w:rsidR="00C05BB6" w:rsidRPr="0007383B">
              <w:rPr>
                <w:b/>
                <w:bCs/>
              </w:rPr>
              <w:t>(p.</w:t>
            </w:r>
            <w:r w:rsidR="00D46787">
              <w:rPr>
                <w:b/>
                <w:bCs/>
              </w:rPr>
              <w:t>25</w:t>
            </w:r>
            <w:r w:rsidR="00C05BB6" w:rsidRPr="0007383B">
              <w:rPr>
                <w:b/>
                <w:bCs/>
              </w:rPr>
              <w:t>)</w:t>
            </w:r>
          </w:p>
        </w:tc>
        <w:tc>
          <w:tcPr>
            <w:tcW w:w="7802" w:type="dxa"/>
            <w:shd w:val="clear" w:color="auto" w:fill="E7E6E6" w:themeFill="background2"/>
            <w:vAlign w:val="center"/>
          </w:tcPr>
          <w:p w14:paraId="0AB43B0B" w14:textId="77ECD5D3" w:rsidR="00631919" w:rsidRPr="00631919" w:rsidRDefault="002D07E1" w:rsidP="00D46787">
            <w:pPr>
              <w:pStyle w:val="NoSpacing"/>
            </w:pPr>
            <w:r>
              <w:rPr>
                <w:b/>
                <w:bCs/>
              </w:rPr>
              <w:t>Article overview:</w:t>
            </w:r>
            <w:r w:rsidR="00C05BB6" w:rsidRPr="002D07E1">
              <w:t xml:space="preserve"> </w:t>
            </w:r>
            <w:r w:rsidR="00851176">
              <w:t xml:space="preserve">This article </w:t>
            </w:r>
            <w:r w:rsidR="00D46787">
              <w:t>considers current marine food production and the necessary actions for the ocean to continue to provide us with good-quality food.</w:t>
            </w:r>
          </w:p>
        </w:tc>
      </w:tr>
      <w:tr w:rsidR="00C05BB6" w:rsidRPr="008C066D" w14:paraId="6B4F9518" w14:textId="77777777" w:rsidTr="00C87267">
        <w:trPr>
          <w:trHeight w:val="2693"/>
        </w:trPr>
        <w:tc>
          <w:tcPr>
            <w:tcW w:w="1696" w:type="dxa"/>
            <w:vMerge/>
            <w:shd w:val="clear" w:color="auto" w:fill="D9D9D9" w:themeFill="background1" w:themeFillShade="D9"/>
          </w:tcPr>
          <w:p w14:paraId="5C8545E1" w14:textId="77777777" w:rsidR="00C05BB6" w:rsidRPr="0007383B" w:rsidRDefault="00C05BB6" w:rsidP="00C05BB6">
            <w:pPr>
              <w:rPr>
                <w:b/>
                <w:bCs/>
              </w:rPr>
            </w:pPr>
          </w:p>
        </w:tc>
        <w:tc>
          <w:tcPr>
            <w:tcW w:w="7802" w:type="dxa"/>
            <w:vAlign w:val="center"/>
          </w:tcPr>
          <w:p w14:paraId="6B5D8A40" w14:textId="7542391F" w:rsidR="002B3187" w:rsidRDefault="00B64A44" w:rsidP="002B3187">
            <w:pPr>
              <w:pStyle w:val="NoSpacing"/>
              <w:numPr>
                <w:ilvl w:val="0"/>
                <w:numId w:val="8"/>
              </w:numPr>
            </w:pPr>
            <w:r>
              <w:t xml:space="preserve">What measures are needed to ensure that increases in marine production over time are sustainable? What role do you think the Ocean Decade </w:t>
            </w:r>
            <w:r w:rsidR="00D675E0">
              <w:t>could</w:t>
            </w:r>
            <w:r>
              <w:t xml:space="preserve"> play in this?</w:t>
            </w:r>
          </w:p>
          <w:p w14:paraId="2B0EBDF9" w14:textId="1AFB27AF" w:rsidR="00ED075F" w:rsidRDefault="00B64A44" w:rsidP="00F95824">
            <w:pPr>
              <w:pStyle w:val="NoSpacing"/>
              <w:numPr>
                <w:ilvl w:val="0"/>
                <w:numId w:val="8"/>
              </w:numPr>
            </w:pPr>
            <w:r>
              <w:t>Given that</w:t>
            </w:r>
            <w:r w:rsidR="000907C4">
              <w:t xml:space="preserve"> marine fishing is a global </w:t>
            </w:r>
            <w:r w:rsidR="00F95824">
              <w:t>activity</w:t>
            </w:r>
            <w:r w:rsidR="000907C4">
              <w:t>, what do you think might be</w:t>
            </w:r>
            <w:r w:rsidR="00ED075F">
              <w:t xml:space="preserve"> some of</w:t>
            </w:r>
            <w:r w:rsidR="000907C4">
              <w:t xml:space="preserve"> the </w:t>
            </w:r>
            <w:r w:rsidR="00ED075F">
              <w:t xml:space="preserve">most significant difficulties for </w:t>
            </w:r>
            <w:r w:rsidR="00F95824">
              <w:t xml:space="preserve">the </w:t>
            </w:r>
            <w:r w:rsidR="00ED075F">
              <w:t>management</w:t>
            </w:r>
            <w:r w:rsidR="00F95824">
              <w:t xml:space="preserve"> of marine fish stocks</w:t>
            </w:r>
            <w:r w:rsidR="000907C4">
              <w:t xml:space="preserve">? </w:t>
            </w:r>
          </w:p>
          <w:p w14:paraId="7FD6B7A1" w14:textId="37308022" w:rsidR="00F95824" w:rsidRDefault="00F95824" w:rsidP="00F95824">
            <w:pPr>
              <w:pStyle w:val="NoSpacing"/>
              <w:numPr>
                <w:ilvl w:val="0"/>
                <w:numId w:val="8"/>
              </w:numPr>
            </w:pPr>
            <w:r>
              <w:t>One of the potential solutions posited in the article</w:t>
            </w:r>
            <w:r>
              <w:t xml:space="preserve"> that</w:t>
            </w:r>
            <w:r>
              <w:t xml:space="preserve"> can be </w:t>
            </w:r>
            <w:r w:rsidR="00267CD8">
              <w:t>generated</w:t>
            </w:r>
            <w:r>
              <w:t xml:space="preserve"> through the Ocean Decade is large-scale human behaviour change. How do you think this might </w:t>
            </w:r>
            <w:r>
              <w:t xml:space="preserve">be </w:t>
            </w:r>
            <w:r>
              <w:t>most effectively achieved?</w:t>
            </w:r>
          </w:p>
        </w:tc>
      </w:tr>
      <w:tr w:rsidR="00C05BB6" w:rsidRPr="008C066D" w14:paraId="4D1B21F3" w14:textId="77777777" w:rsidTr="00C87267">
        <w:trPr>
          <w:trHeight w:val="987"/>
        </w:trPr>
        <w:tc>
          <w:tcPr>
            <w:tcW w:w="1696" w:type="dxa"/>
            <w:vMerge w:val="restart"/>
            <w:shd w:val="clear" w:color="auto" w:fill="D9D9D9" w:themeFill="background1" w:themeFillShade="D9"/>
            <w:vAlign w:val="center"/>
          </w:tcPr>
          <w:p w14:paraId="16EA3988" w14:textId="77777777" w:rsidR="00D46787" w:rsidRDefault="00D46787" w:rsidP="00D46787">
            <w:pPr>
              <w:rPr>
                <w:b/>
                <w:bCs/>
              </w:rPr>
            </w:pPr>
            <w:r w:rsidRPr="002B3187">
              <w:rPr>
                <w:b/>
                <w:bCs/>
              </w:rPr>
              <w:t>Industry engagement with the Ocean Decade</w:t>
            </w:r>
          </w:p>
          <w:p w14:paraId="32ADE4EF" w14:textId="77777777" w:rsidR="00D46787" w:rsidRDefault="00D46787" w:rsidP="00D46787">
            <w:pPr>
              <w:rPr>
                <w:b/>
                <w:bCs/>
              </w:rPr>
            </w:pPr>
          </w:p>
          <w:p w14:paraId="63EFB1F3" w14:textId="54346616" w:rsidR="00C05BB6" w:rsidRPr="0007383B" w:rsidRDefault="00D46787" w:rsidP="00D46787">
            <w:pPr>
              <w:rPr>
                <w:b/>
                <w:bCs/>
              </w:rPr>
            </w:pPr>
            <w:r>
              <w:rPr>
                <w:b/>
                <w:bCs/>
              </w:rPr>
              <w:t xml:space="preserve">David Millar </w:t>
            </w:r>
            <w:r w:rsidRPr="0007383B">
              <w:rPr>
                <w:b/>
                <w:bCs/>
              </w:rPr>
              <w:t>(p.</w:t>
            </w:r>
            <w:r>
              <w:rPr>
                <w:b/>
                <w:bCs/>
              </w:rPr>
              <w:t>30</w:t>
            </w:r>
            <w:r w:rsidRPr="0007383B">
              <w:rPr>
                <w:b/>
                <w:bCs/>
              </w:rPr>
              <w:t>)</w:t>
            </w:r>
          </w:p>
        </w:tc>
        <w:tc>
          <w:tcPr>
            <w:tcW w:w="7802" w:type="dxa"/>
            <w:shd w:val="clear" w:color="auto" w:fill="E7E6E6" w:themeFill="background2"/>
            <w:vAlign w:val="center"/>
          </w:tcPr>
          <w:p w14:paraId="4BC6C0F7" w14:textId="77777777" w:rsidR="00D46787" w:rsidRDefault="002D07E1" w:rsidP="00D46787">
            <w:pPr>
              <w:pStyle w:val="NoSpacing"/>
            </w:pPr>
            <w:r w:rsidRPr="00F83AEA">
              <w:rPr>
                <w:b/>
                <w:bCs/>
              </w:rPr>
              <w:t>Article overview:</w:t>
            </w:r>
            <w:r w:rsidRPr="00F83AEA">
              <w:t xml:space="preserve"> </w:t>
            </w:r>
            <w:r w:rsidR="00D46787">
              <w:t>This article outlines the advantages of input from industry for the</w:t>
            </w:r>
          </w:p>
          <w:p w14:paraId="7D8AB3A8" w14:textId="5EE04FF1" w:rsidR="00C05BB6" w:rsidRPr="00D46787" w:rsidRDefault="00D46787" w:rsidP="00F83AEA">
            <w:pPr>
              <w:pStyle w:val="NoSpacing"/>
            </w:pPr>
            <w:r>
              <w:t>equitable and sustainable development of the ocean economy.</w:t>
            </w:r>
          </w:p>
        </w:tc>
      </w:tr>
      <w:tr w:rsidR="00C05BB6" w:rsidRPr="008C066D" w14:paraId="447BE1EC" w14:textId="77777777" w:rsidTr="00436029">
        <w:trPr>
          <w:trHeight w:val="2537"/>
        </w:trPr>
        <w:tc>
          <w:tcPr>
            <w:tcW w:w="1696" w:type="dxa"/>
            <w:vMerge/>
            <w:shd w:val="clear" w:color="auto" w:fill="D9D9D9" w:themeFill="background1" w:themeFillShade="D9"/>
          </w:tcPr>
          <w:p w14:paraId="13FCF6F3" w14:textId="77777777" w:rsidR="00C05BB6" w:rsidRPr="0007383B" w:rsidRDefault="00C05BB6" w:rsidP="00C05BB6">
            <w:pPr>
              <w:rPr>
                <w:b/>
                <w:bCs/>
              </w:rPr>
            </w:pPr>
          </w:p>
        </w:tc>
        <w:tc>
          <w:tcPr>
            <w:tcW w:w="7802" w:type="dxa"/>
            <w:vAlign w:val="center"/>
          </w:tcPr>
          <w:p w14:paraId="51193D11" w14:textId="1FD638BA" w:rsidR="002B3187" w:rsidRDefault="00371BB8" w:rsidP="002B3187">
            <w:pPr>
              <w:pStyle w:val="NoSpacing"/>
              <w:numPr>
                <w:ilvl w:val="0"/>
                <w:numId w:val="8"/>
              </w:numPr>
            </w:pPr>
            <w:r>
              <w:t xml:space="preserve">Why do you think it is so important </w:t>
            </w:r>
            <w:r w:rsidR="009F0C56">
              <w:t>for</w:t>
            </w:r>
            <w:r>
              <w:t xml:space="preserve"> ocean businesses </w:t>
            </w:r>
            <w:r w:rsidR="009F0C56">
              <w:t xml:space="preserve">to </w:t>
            </w:r>
            <w:r>
              <w:t>contribute to efforts to reverse the cycle of decline in ocean health</w:t>
            </w:r>
            <w:r w:rsidR="009F0C56">
              <w:t xml:space="preserve"> and engage with </w:t>
            </w:r>
            <w:r w:rsidR="007602CE">
              <w:t>initiatives</w:t>
            </w:r>
            <w:r w:rsidR="009F0C56">
              <w:t xml:space="preserve"> such as the Ocean Decade</w:t>
            </w:r>
            <w:r>
              <w:t>?</w:t>
            </w:r>
          </w:p>
          <w:p w14:paraId="3222DEBB" w14:textId="7AAA3255" w:rsidR="004C0AA0" w:rsidRDefault="00371BB8" w:rsidP="00371BB8">
            <w:pPr>
              <w:pStyle w:val="NoSpacing"/>
              <w:numPr>
                <w:ilvl w:val="0"/>
                <w:numId w:val="8"/>
              </w:numPr>
            </w:pPr>
            <w:r>
              <w:t xml:space="preserve">With the global ocean economy projected to be worth US$ 3 trillion by 2030, </w:t>
            </w:r>
            <w:r w:rsidR="007602CE">
              <w:t>what do you think is needed to</w:t>
            </w:r>
            <w:r>
              <w:t xml:space="preserve"> ensure that </w:t>
            </w:r>
            <w:r w:rsidR="009F0C56">
              <w:t xml:space="preserve">development is </w:t>
            </w:r>
            <w:r w:rsidR="007602CE">
              <w:t>both</w:t>
            </w:r>
            <w:r w:rsidR="009F0C56">
              <w:t xml:space="preserve"> sustainabl</w:t>
            </w:r>
            <w:r w:rsidR="007602CE">
              <w:t xml:space="preserve">e </w:t>
            </w:r>
            <w:r w:rsidR="009F0C56">
              <w:t>and e</w:t>
            </w:r>
            <w:r w:rsidR="007602CE">
              <w:t>quitable</w:t>
            </w:r>
            <w:r w:rsidR="009F0C56">
              <w:t>?</w:t>
            </w:r>
            <w:r w:rsidR="007602CE">
              <w:t xml:space="preserve"> What role should the private sector play?</w:t>
            </w:r>
          </w:p>
          <w:p w14:paraId="6A9A820B" w14:textId="148A7C7B" w:rsidR="009F0C56" w:rsidRPr="002D7DC0" w:rsidRDefault="007602CE" w:rsidP="00371BB8">
            <w:pPr>
              <w:pStyle w:val="NoSpacing"/>
              <w:numPr>
                <w:ilvl w:val="0"/>
                <w:numId w:val="8"/>
              </w:numPr>
            </w:pPr>
            <w:r>
              <w:t>How do you think public-private partnerships could be utilised to achieve the Decade outcomes?</w:t>
            </w:r>
          </w:p>
        </w:tc>
      </w:tr>
      <w:tr w:rsidR="004A799F" w:rsidRPr="008C066D" w14:paraId="540F96B5" w14:textId="77777777" w:rsidTr="00C87267">
        <w:trPr>
          <w:trHeight w:val="1249"/>
        </w:trPr>
        <w:tc>
          <w:tcPr>
            <w:tcW w:w="1696" w:type="dxa"/>
            <w:vMerge w:val="restart"/>
            <w:shd w:val="clear" w:color="auto" w:fill="D9D9D9" w:themeFill="background1" w:themeFillShade="D9"/>
          </w:tcPr>
          <w:p w14:paraId="3483FBD2" w14:textId="77777777" w:rsidR="005C7F1B" w:rsidRDefault="005C7F1B" w:rsidP="00C05BB6">
            <w:pPr>
              <w:rPr>
                <w:b/>
                <w:bCs/>
              </w:rPr>
            </w:pPr>
          </w:p>
          <w:p w14:paraId="1C139B0E" w14:textId="03A6A2BD" w:rsidR="005C7F1B" w:rsidRDefault="005C7F1B" w:rsidP="00C05BB6">
            <w:pPr>
              <w:rPr>
                <w:b/>
                <w:bCs/>
              </w:rPr>
            </w:pPr>
          </w:p>
          <w:p w14:paraId="2ABDE17C" w14:textId="1DBB07F8" w:rsidR="00F65BC3" w:rsidRDefault="00F65BC3" w:rsidP="00C05BB6">
            <w:pPr>
              <w:rPr>
                <w:b/>
                <w:bCs/>
              </w:rPr>
            </w:pPr>
          </w:p>
          <w:p w14:paraId="2B2D6DAB" w14:textId="77777777" w:rsidR="00C87267" w:rsidRDefault="00C87267" w:rsidP="00C05BB6">
            <w:pPr>
              <w:rPr>
                <w:b/>
                <w:bCs/>
              </w:rPr>
            </w:pPr>
          </w:p>
          <w:p w14:paraId="3C1EC70B" w14:textId="17CF2B76" w:rsidR="004A799F" w:rsidRDefault="00D46787" w:rsidP="00522B35">
            <w:pPr>
              <w:rPr>
                <w:b/>
                <w:bCs/>
              </w:rPr>
            </w:pPr>
            <w:r>
              <w:rPr>
                <w:b/>
                <w:bCs/>
              </w:rPr>
              <w:t>The coastal based approach</w:t>
            </w:r>
          </w:p>
          <w:p w14:paraId="7FD96674" w14:textId="77777777" w:rsidR="00522B35" w:rsidRPr="006978D9" w:rsidRDefault="00522B35" w:rsidP="00522B35">
            <w:pPr>
              <w:rPr>
                <w:b/>
                <w:bCs/>
                <w:highlight w:val="yellow"/>
              </w:rPr>
            </w:pPr>
          </w:p>
          <w:p w14:paraId="1534F4FE" w14:textId="18B289B1" w:rsidR="004A799F" w:rsidRPr="0007383B" w:rsidRDefault="00D46787" w:rsidP="00CF2873">
            <w:pPr>
              <w:rPr>
                <w:b/>
                <w:bCs/>
              </w:rPr>
            </w:pPr>
            <w:r w:rsidRPr="00D46787">
              <w:rPr>
                <w:b/>
                <w:bCs/>
              </w:rPr>
              <w:t xml:space="preserve">Natasha Bradshaw, Bob Earll, Peter Barham, Amy </w:t>
            </w:r>
            <w:proofErr w:type="gramStart"/>
            <w:r w:rsidRPr="00D46787">
              <w:rPr>
                <w:b/>
                <w:bCs/>
              </w:rPr>
              <w:t>Pryor</w:t>
            </w:r>
            <w:proofErr w:type="gramEnd"/>
            <w:r w:rsidRPr="00D46787">
              <w:rPr>
                <w:b/>
                <w:bCs/>
              </w:rPr>
              <w:t xml:space="preserve"> and Mark Everard </w:t>
            </w:r>
            <w:r w:rsidR="004A799F" w:rsidRPr="00D46787">
              <w:rPr>
                <w:b/>
                <w:bCs/>
              </w:rPr>
              <w:t>(p.</w:t>
            </w:r>
            <w:r>
              <w:rPr>
                <w:b/>
                <w:bCs/>
              </w:rPr>
              <w:t>8</w:t>
            </w:r>
            <w:r w:rsidR="00FC33BE" w:rsidRPr="00D46787">
              <w:rPr>
                <w:b/>
                <w:bCs/>
              </w:rPr>
              <w:t>4</w:t>
            </w:r>
            <w:r w:rsidR="004A799F" w:rsidRPr="00D46787">
              <w:rPr>
                <w:b/>
                <w:bCs/>
              </w:rPr>
              <w:t>)</w:t>
            </w:r>
          </w:p>
        </w:tc>
        <w:tc>
          <w:tcPr>
            <w:tcW w:w="7802" w:type="dxa"/>
            <w:shd w:val="clear" w:color="auto" w:fill="E7E6E6" w:themeFill="background2"/>
            <w:vAlign w:val="center"/>
          </w:tcPr>
          <w:p w14:paraId="2BA78114" w14:textId="60EA2E91" w:rsidR="000A683A" w:rsidRPr="00E46DBA" w:rsidRDefault="00105ECE" w:rsidP="004D6E85">
            <w:pPr>
              <w:pStyle w:val="NoSpacing"/>
              <w:rPr>
                <w:highlight w:val="yellow"/>
              </w:rPr>
            </w:pPr>
            <w:r w:rsidRPr="00FC33BE">
              <w:rPr>
                <w:b/>
                <w:bCs/>
              </w:rPr>
              <w:t>Article overview:</w:t>
            </w:r>
            <w:r w:rsidRPr="00FC33BE">
              <w:t xml:space="preserve"> This article </w:t>
            </w:r>
            <w:r w:rsidR="004D6E85">
              <w:t>outlines a proposal to establish partnerships covering the entire English coast for better oversight and stewardship of coastal and marine resources.</w:t>
            </w:r>
          </w:p>
        </w:tc>
      </w:tr>
      <w:tr w:rsidR="004A799F" w:rsidRPr="008C066D" w14:paraId="16D2521A" w14:textId="77777777" w:rsidTr="00F65BC3">
        <w:trPr>
          <w:trHeight w:val="3529"/>
        </w:trPr>
        <w:tc>
          <w:tcPr>
            <w:tcW w:w="1696" w:type="dxa"/>
            <w:vMerge/>
            <w:shd w:val="clear" w:color="auto" w:fill="D9D9D9" w:themeFill="background1" w:themeFillShade="D9"/>
          </w:tcPr>
          <w:p w14:paraId="75C52026" w14:textId="77777777" w:rsidR="004A799F" w:rsidRDefault="004A799F" w:rsidP="00C05BB6">
            <w:pPr>
              <w:rPr>
                <w:b/>
                <w:bCs/>
              </w:rPr>
            </w:pPr>
          </w:p>
        </w:tc>
        <w:tc>
          <w:tcPr>
            <w:tcW w:w="7802" w:type="dxa"/>
            <w:vAlign w:val="center"/>
          </w:tcPr>
          <w:p w14:paraId="6166D2A7" w14:textId="023E4501" w:rsidR="000157F3" w:rsidRDefault="00295A7F" w:rsidP="00295A7F">
            <w:pPr>
              <w:pStyle w:val="NoSpacing"/>
              <w:numPr>
                <w:ilvl w:val="0"/>
                <w:numId w:val="10"/>
              </w:numPr>
            </w:pPr>
            <w:r>
              <w:t xml:space="preserve">What do you think are the key benefits of </w:t>
            </w:r>
            <w:r w:rsidR="004F2272">
              <w:t>collaborative,</w:t>
            </w:r>
            <w:r>
              <w:t xml:space="preserve"> place-based </w:t>
            </w:r>
            <w:r w:rsidR="004F2272">
              <w:t xml:space="preserve">approaches – </w:t>
            </w:r>
            <w:r>
              <w:t>bringing together stakeholders such as public bodies, private-sector interest groups and coastal communities</w:t>
            </w:r>
            <w:r w:rsidR="004F2272">
              <w:t xml:space="preserve"> – to</w:t>
            </w:r>
            <w:r w:rsidR="008A6D53">
              <w:t xml:space="preserve"> the stewardship of marine and coastal resources?</w:t>
            </w:r>
            <w:r>
              <w:t xml:space="preserve"> </w:t>
            </w:r>
          </w:p>
          <w:p w14:paraId="080A6E2E" w14:textId="77777777" w:rsidR="004F2272" w:rsidRDefault="008A6D53" w:rsidP="004F2272">
            <w:pPr>
              <w:pStyle w:val="NoSpacing"/>
              <w:numPr>
                <w:ilvl w:val="0"/>
                <w:numId w:val="10"/>
              </w:numPr>
            </w:pPr>
            <w:r>
              <w:t xml:space="preserve">How do </w:t>
            </w:r>
            <w:r w:rsidR="004F2272">
              <w:t xml:space="preserve">collaborative </w:t>
            </w:r>
            <w:r>
              <w:t>approaches like the coastal based approach differ from traditional top-down</w:t>
            </w:r>
            <w:r w:rsidR="004F2272">
              <w:t xml:space="preserve"> governance? </w:t>
            </w:r>
          </w:p>
          <w:p w14:paraId="543CF41A" w14:textId="77777777" w:rsidR="004D6E85" w:rsidRDefault="004F2272" w:rsidP="004D6E85">
            <w:pPr>
              <w:pStyle w:val="NoSpacing"/>
              <w:numPr>
                <w:ilvl w:val="0"/>
                <w:numId w:val="10"/>
              </w:numPr>
            </w:pPr>
            <w:r>
              <w:t xml:space="preserve">What benefits do you think the coastal based approach could provide to government and its agencies in the delivery of </w:t>
            </w:r>
            <w:r w:rsidR="004F2988">
              <w:t>existing marine/coastal initiatives</w:t>
            </w:r>
            <w:r w:rsidR="004D6E85">
              <w:t>?</w:t>
            </w:r>
            <w:r w:rsidR="004F2988">
              <w:t xml:space="preserve"> </w:t>
            </w:r>
          </w:p>
          <w:p w14:paraId="266F4C64" w14:textId="0493C476" w:rsidR="008A6D53" w:rsidRPr="00291616" w:rsidRDefault="004D6E85" w:rsidP="004D6E85">
            <w:pPr>
              <w:pStyle w:val="NoSpacing"/>
              <w:numPr>
                <w:ilvl w:val="0"/>
                <w:numId w:val="10"/>
              </w:numPr>
            </w:pPr>
            <w:r>
              <w:t>What linked benefits might there be in terms of</w:t>
            </w:r>
            <w:r w:rsidR="004F2988">
              <w:t xml:space="preserve"> </w:t>
            </w:r>
            <w:r>
              <w:t xml:space="preserve">wider environmental objectives such as the achievement of </w:t>
            </w:r>
            <w:r w:rsidR="004F2988">
              <w:t>net zero emissions targets</w:t>
            </w:r>
            <w:r>
              <w:t xml:space="preserve"> and a</w:t>
            </w:r>
            <w:r w:rsidR="004F2988">
              <w:t xml:space="preserve"> </w:t>
            </w:r>
            <w:r>
              <w:t xml:space="preserve">green recovery from the Covid-19 pandemic? </w:t>
            </w:r>
            <w:r w:rsidR="004F2988">
              <w:t xml:space="preserve"> </w:t>
            </w:r>
          </w:p>
        </w:tc>
      </w:tr>
    </w:tbl>
    <w:p w14:paraId="7A58726C" w14:textId="77777777" w:rsidR="009343FF" w:rsidRPr="00876C46" w:rsidRDefault="009343FF" w:rsidP="00C87267"/>
    <w:sectPr w:rsidR="009343FF" w:rsidRPr="00876C46" w:rsidSect="002B280F">
      <w:headerReference w:type="default" r:id="rId12"/>
      <w:pgSz w:w="11906" w:h="16838"/>
      <w:pgMar w:top="1559" w:right="1276"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386B7A" w14:textId="77777777" w:rsidR="00F07728" w:rsidRDefault="00F07728" w:rsidP="0007383B">
      <w:pPr>
        <w:spacing w:after="0" w:line="240" w:lineRule="auto"/>
      </w:pPr>
      <w:r>
        <w:separator/>
      </w:r>
    </w:p>
  </w:endnote>
  <w:endnote w:type="continuationSeparator" w:id="0">
    <w:p w14:paraId="7B9C3DD6" w14:textId="77777777" w:rsidR="00F07728" w:rsidRDefault="00F07728" w:rsidP="00073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4C4292" w14:textId="77777777" w:rsidR="00F07728" w:rsidRDefault="00F07728" w:rsidP="0007383B">
      <w:pPr>
        <w:spacing w:after="0" w:line="240" w:lineRule="auto"/>
      </w:pPr>
      <w:r>
        <w:separator/>
      </w:r>
    </w:p>
  </w:footnote>
  <w:footnote w:type="continuationSeparator" w:id="0">
    <w:p w14:paraId="5EA9AAF8" w14:textId="77777777" w:rsidR="00F07728" w:rsidRDefault="00F07728" w:rsidP="000738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76E8F" w14:textId="4808B44B" w:rsidR="0007383B" w:rsidRDefault="0007383B">
    <w:pPr>
      <w:pStyle w:val="Header"/>
    </w:pPr>
    <w:r>
      <w:rPr>
        <w:noProof/>
      </w:rPr>
      <w:drawing>
        <wp:anchor distT="0" distB="0" distL="114300" distR="114300" simplePos="0" relativeHeight="251659264" behindDoc="0" locked="0" layoutInCell="1" allowOverlap="1" wp14:anchorId="5A5763FC" wp14:editId="10F974B8">
          <wp:simplePos x="0" y="0"/>
          <wp:positionH relativeFrom="margin">
            <wp:align>right</wp:align>
          </wp:positionH>
          <wp:positionV relativeFrom="paragraph">
            <wp:posOffset>-240030</wp:posOffset>
          </wp:positionV>
          <wp:extent cx="548640" cy="707390"/>
          <wp:effectExtent l="0" t="0" r="381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 cy="707390"/>
                  </a:xfrm>
                  <a:prstGeom prst="rect">
                    <a:avLst/>
                  </a:prstGeom>
                  <a:noFill/>
                </pic:spPr>
              </pic:pic>
            </a:graphicData>
          </a:graphic>
        </wp:anchor>
      </w:drawing>
    </w:r>
    <w:r w:rsidRPr="0007383B">
      <w:rPr>
        <w:noProof/>
      </w:rPr>
      <w:drawing>
        <wp:anchor distT="0" distB="0" distL="114300" distR="114300" simplePos="0" relativeHeight="251658240" behindDoc="0" locked="0" layoutInCell="1" allowOverlap="1" wp14:anchorId="0DA8CE19" wp14:editId="5895A550">
          <wp:simplePos x="0" y="0"/>
          <wp:positionH relativeFrom="column">
            <wp:posOffset>-24765</wp:posOffset>
          </wp:positionH>
          <wp:positionV relativeFrom="paragraph">
            <wp:posOffset>-297180</wp:posOffset>
          </wp:positionV>
          <wp:extent cx="857250" cy="8012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857250" cy="8012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259EE"/>
    <w:multiLevelType w:val="hybridMultilevel"/>
    <w:tmpl w:val="975C13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0151C52"/>
    <w:multiLevelType w:val="hybridMultilevel"/>
    <w:tmpl w:val="617E91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58A7D1D"/>
    <w:multiLevelType w:val="hybridMultilevel"/>
    <w:tmpl w:val="F29A8F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BB871BF"/>
    <w:multiLevelType w:val="hybridMultilevel"/>
    <w:tmpl w:val="177AFF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41D7A62"/>
    <w:multiLevelType w:val="hybridMultilevel"/>
    <w:tmpl w:val="F9140A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5780BC5"/>
    <w:multiLevelType w:val="hybridMultilevel"/>
    <w:tmpl w:val="76621A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B01739"/>
    <w:multiLevelType w:val="hybridMultilevel"/>
    <w:tmpl w:val="4ACCD4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95629C0"/>
    <w:multiLevelType w:val="hybridMultilevel"/>
    <w:tmpl w:val="DF7AC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67311F"/>
    <w:multiLevelType w:val="hybridMultilevel"/>
    <w:tmpl w:val="672675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59C10E02"/>
    <w:multiLevelType w:val="hybridMultilevel"/>
    <w:tmpl w:val="391096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2"/>
  </w:num>
  <w:num w:numId="3">
    <w:abstractNumId w:val="1"/>
  </w:num>
  <w:num w:numId="4">
    <w:abstractNumId w:val="3"/>
  </w:num>
  <w:num w:numId="5">
    <w:abstractNumId w:val="0"/>
  </w:num>
  <w:num w:numId="6">
    <w:abstractNumId w:val="9"/>
  </w:num>
  <w:num w:numId="7">
    <w:abstractNumId w:val="5"/>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07B"/>
    <w:rsid w:val="000070F9"/>
    <w:rsid w:val="00010145"/>
    <w:rsid w:val="000157F3"/>
    <w:rsid w:val="00021304"/>
    <w:rsid w:val="00070810"/>
    <w:rsid w:val="0007383B"/>
    <w:rsid w:val="000907C4"/>
    <w:rsid w:val="00094358"/>
    <w:rsid w:val="00095DF9"/>
    <w:rsid w:val="000A683A"/>
    <w:rsid w:val="000B1F49"/>
    <w:rsid w:val="000B20F0"/>
    <w:rsid w:val="000E16BF"/>
    <w:rsid w:val="000E1AC7"/>
    <w:rsid w:val="00105ECE"/>
    <w:rsid w:val="0011119D"/>
    <w:rsid w:val="00111858"/>
    <w:rsid w:val="00150643"/>
    <w:rsid w:val="001547D6"/>
    <w:rsid w:val="00177D70"/>
    <w:rsid w:val="001B097D"/>
    <w:rsid w:val="001B7C08"/>
    <w:rsid w:val="00215755"/>
    <w:rsid w:val="00220C74"/>
    <w:rsid w:val="00226A9D"/>
    <w:rsid w:val="002555D9"/>
    <w:rsid w:val="00267CD8"/>
    <w:rsid w:val="00270174"/>
    <w:rsid w:val="00291616"/>
    <w:rsid w:val="00295A7F"/>
    <w:rsid w:val="002B280F"/>
    <w:rsid w:val="002B3187"/>
    <w:rsid w:val="002D07E1"/>
    <w:rsid w:val="002D7DC0"/>
    <w:rsid w:val="003121A1"/>
    <w:rsid w:val="00323EC3"/>
    <w:rsid w:val="00332500"/>
    <w:rsid w:val="00351A33"/>
    <w:rsid w:val="00360E79"/>
    <w:rsid w:val="0037054B"/>
    <w:rsid w:val="00371BB8"/>
    <w:rsid w:val="00375F91"/>
    <w:rsid w:val="00376189"/>
    <w:rsid w:val="003778FF"/>
    <w:rsid w:val="00396AA1"/>
    <w:rsid w:val="003C70CD"/>
    <w:rsid w:val="00403136"/>
    <w:rsid w:val="00410ACE"/>
    <w:rsid w:val="00436029"/>
    <w:rsid w:val="00455FBF"/>
    <w:rsid w:val="00482258"/>
    <w:rsid w:val="004A799F"/>
    <w:rsid w:val="004B0DF7"/>
    <w:rsid w:val="004B15E8"/>
    <w:rsid w:val="004C0AA0"/>
    <w:rsid w:val="004D0C90"/>
    <w:rsid w:val="004D6E85"/>
    <w:rsid w:val="004D7701"/>
    <w:rsid w:val="004F2272"/>
    <w:rsid w:val="004F2988"/>
    <w:rsid w:val="00522B35"/>
    <w:rsid w:val="00591115"/>
    <w:rsid w:val="0059527F"/>
    <w:rsid w:val="005C7F1B"/>
    <w:rsid w:val="00610109"/>
    <w:rsid w:val="0061191B"/>
    <w:rsid w:val="006137A1"/>
    <w:rsid w:val="00631919"/>
    <w:rsid w:val="0069102C"/>
    <w:rsid w:val="006978D9"/>
    <w:rsid w:val="006E5598"/>
    <w:rsid w:val="00707821"/>
    <w:rsid w:val="0072763E"/>
    <w:rsid w:val="00751B40"/>
    <w:rsid w:val="007602CE"/>
    <w:rsid w:val="00780948"/>
    <w:rsid w:val="007E4A82"/>
    <w:rsid w:val="00806DA5"/>
    <w:rsid w:val="00814F19"/>
    <w:rsid w:val="0081619E"/>
    <w:rsid w:val="00834991"/>
    <w:rsid w:val="00851176"/>
    <w:rsid w:val="00856BE0"/>
    <w:rsid w:val="00876C46"/>
    <w:rsid w:val="008A1149"/>
    <w:rsid w:val="008A6D53"/>
    <w:rsid w:val="008B3287"/>
    <w:rsid w:val="008C066D"/>
    <w:rsid w:val="008C24FD"/>
    <w:rsid w:val="008C26C9"/>
    <w:rsid w:val="008C7366"/>
    <w:rsid w:val="008E3FFD"/>
    <w:rsid w:val="0092324B"/>
    <w:rsid w:val="009343FF"/>
    <w:rsid w:val="009437A0"/>
    <w:rsid w:val="00971B85"/>
    <w:rsid w:val="00975B6B"/>
    <w:rsid w:val="009A2C09"/>
    <w:rsid w:val="009A4CF8"/>
    <w:rsid w:val="009B441F"/>
    <w:rsid w:val="009B55A0"/>
    <w:rsid w:val="009F0C56"/>
    <w:rsid w:val="00A87424"/>
    <w:rsid w:val="00B0561C"/>
    <w:rsid w:val="00B47825"/>
    <w:rsid w:val="00B566CE"/>
    <w:rsid w:val="00B64371"/>
    <w:rsid w:val="00B64A44"/>
    <w:rsid w:val="00B76C91"/>
    <w:rsid w:val="00BA2C54"/>
    <w:rsid w:val="00BF270B"/>
    <w:rsid w:val="00C05BB6"/>
    <w:rsid w:val="00C3015F"/>
    <w:rsid w:val="00C446E5"/>
    <w:rsid w:val="00C606D5"/>
    <w:rsid w:val="00C61771"/>
    <w:rsid w:val="00C65D2C"/>
    <w:rsid w:val="00C7407B"/>
    <w:rsid w:val="00C87267"/>
    <w:rsid w:val="00CF2873"/>
    <w:rsid w:val="00CF73B1"/>
    <w:rsid w:val="00D31D5D"/>
    <w:rsid w:val="00D33F67"/>
    <w:rsid w:val="00D417DF"/>
    <w:rsid w:val="00D46787"/>
    <w:rsid w:val="00D675E0"/>
    <w:rsid w:val="00D7410E"/>
    <w:rsid w:val="00DA05EB"/>
    <w:rsid w:val="00DA3C2C"/>
    <w:rsid w:val="00DB525C"/>
    <w:rsid w:val="00E07295"/>
    <w:rsid w:val="00E07684"/>
    <w:rsid w:val="00E36036"/>
    <w:rsid w:val="00E45426"/>
    <w:rsid w:val="00E46DBA"/>
    <w:rsid w:val="00EA3837"/>
    <w:rsid w:val="00EA6E71"/>
    <w:rsid w:val="00ED075F"/>
    <w:rsid w:val="00ED0BCE"/>
    <w:rsid w:val="00EF3C12"/>
    <w:rsid w:val="00EF7643"/>
    <w:rsid w:val="00F07728"/>
    <w:rsid w:val="00F65BC3"/>
    <w:rsid w:val="00F66B52"/>
    <w:rsid w:val="00F73FC4"/>
    <w:rsid w:val="00F83AEA"/>
    <w:rsid w:val="00F95824"/>
    <w:rsid w:val="00FC33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496AE3"/>
  <w15:chartTrackingRefBased/>
  <w15:docId w15:val="{301E1902-1BB9-42C6-A318-3C63FBDAC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07B"/>
    <w:pPr>
      <w:ind w:left="720"/>
      <w:contextualSpacing/>
    </w:pPr>
  </w:style>
  <w:style w:type="table" w:styleId="TableGrid">
    <w:name w:val="Table Grid"/>
    <w:basedOn w:val="TableNormal"/>
    <w:uiPriority w:val="39"/>
    <w:rsid w:val="00751B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B3287"/>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A87424"/>
    <w:pPr>
      <w:spacing w:after="0" w:line="240" w:lineRule="auto"/>
    </w:pPr>
  </w:style>
  <w:style w:type="paragraph" w:styleId="BalloonText">
    <w:name w:val="Balloon Text"/>
    <w:basedOn w:val="Normal"/>
    <w:link w:val="BalloonTextChar"/>
    <w:uiPriority w:val="99"/>
    <w:semiHidden/>
    <w:unhideWhenUsed/>
    <w:rsid w:val="00A874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7424"/>
    <w:rPr>
      <w:rFonts w:ascii="Segoe UI" w:hAnsi="Segoe UI" w:cs="Segoe UI"/>
      <w:sz w:val="18"/>
      <w:szCs w:val="18"/>
    </w:rPr>
  </w:style>
  <w:style w:type="character" w:styleId="Hyperlink">
    <w:name w:val="Hyperlink"/>
    <w:basedOn w:val="DefaultParagraphFont"/>
    <w:uiPriority w:val="99"/>
    <w:unhideWhenUsed/>
    <w:rsid w:val="00E07684"/>
    <w:rPr>
      <w:color w:val="0000FF"/>
      <w:u w:val="single"/>
    </w:rPr>
  </w:style>
  <w:style w:type="character" w:styleId="CommentReference">
    <w:name w:val="annotation reference"/>
    <w:basedOn w:val="DefaultParagraphFont"/>
    <w:uiPriority w:val="99"/>
    <w:semiHidden/>
    <w:unhideWhenUsed/>
    <w:rsid w:val="00094358"/>
    <w:rPr>
      <w:sz w:val="16"/>
      <w:szCs w:val="16"/>
    </w:rPr>
  </w:style>
  <w:style w:type="paragraph" w:styleId="CommentText">
    <w:name w:val="annotation text"/>
    <w:basedOn w:val="Normal"/>
    <w:link w:val="CommentTextChar"/>
    <w:uiPriority w:val="99"/>
    <w:semiHidden/>
    <w:unhideWhenUsed/>
    <w:rsid w:val="00094358"/>
    <w:pPr>
      <w:spacing w:line="240" w:lineRule="auto"/>
    </w:pPr>
    <w:rPr>
      <w:sz w:val="20"/>
      <w:szCs w:val="20"/>
    </w:rPr>
  </w:style>
  <w:style w:type="character" w:customStyle="1" w:styleId="CommentTextChar">
    <w:name w:val="Comment Text Char"/>
    <w:basedOn w:val="DefaultParagraphFont"/>
    <w:link w:val="CommentText"/>
    <w:uiPriority w:val="99"/>
    <w:semiHidden/>
    <w:rsid w:val="00094358"/>
    <w:rPr>
      <w:sz w:val="20"/>
      <w:szCs w:val="20"/>
    </w:rPr>
  </w:style>
  <w:style w:type="paragraph" w:styleId="CommentSubject">
    <w:name w:val="annotation subject"/>
    <w:basedOn w:val="CommentText"/>
    <w:next w:val="CommentText"/>
    <w:link w:val="CommentSubjectChar"/>
    <w:uiPriority w:val="99"/>
    <w:semiHidden/>
    <w:unhideWhenUsed/>
    <w:rsid w:val="00094358"/>
    <w:rPr>
      <w:b/>
      <w:bCs/>
    </w:rPr>
  </w:style>
  <w:style w:type="character" w:customStyle="1" w:styleId="CommentSubjectChar">
    <w:name w:val="Comment Subject Char"/>
    <w:basedOn w:val="CommentTextChar"/>
    <w:link w:val="CommentSubject"/>
    <w:uiPriority w:val="99"/>
    <w:semiHidden/>
    <w:rsid w:val="00094358"/>
    <w:rPr>
      <w:b/>
      <w:bCs/>
      <w:sz w:val="20"/>
      <w:szCs w:val="20"/>
    </w:rPr>
  </w:style>
  <w:style w:type="paragraph" w:styleId="Header">
    <w:name w:val="header"/>
    <w:basedOn w:val="Normal"/>
    <w:link w:val="HeaderChar"/>
    <w:uiPriority w:val="99"/>
    <w:unhideWhenUsed/>
    <w:rsid w:val="000738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383B"/>
  </w:style>
  <w:style w:type="paragraph" w:styleId="Footer">
    <w:name w:val="footer"/>
    <w:basedOn w:val="Normal"/>
    <w:link w:val="FooterChar"/>
    <w:uiPriority w:val="99"/>
    <w:unhideWhenUsed/>
    <w:rsid w:val="000738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383B"/>
  </w:style>
  <w:style w:type="character" w:styleId="UnresolvedMention">
    <w:name w:val="Unresolved Mention"/>
    <w:basedOn w:val="DefaultParagraphFont"/>
    <w:uiPriority w:val="99"/>
    <w:semiHidden/>
    <w:unhideWhenUsed/>
    <w:rsid w:val="001118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the-ies.org/resources/creating-sustainable-future"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EACDA8EA67E743BAC11E656682A7F9" ma:contentTypeVersion="12" ma:contentTypeDescription="Create a new document." ma:contentTypeScope="" ma:versionID="077c23979e8bf92b682da97737fba646">
  <xsd:schema xmlns:xsd="http://www.w3.org/2001/XMLSchema" xmlns:xs="http://www.w3.org/2001/XMLSchema" xmlns:p="http://schemas.microsoft.com/office/2006/metadata/properties" xmlns:ns2="f113a436-d327-4268-9749-78455719f184" xmlns:ns3="9301e0f2-eebd-4210-b713-a4d019014ddc" targetNamespace="http://schemas.microsoft.com/office/2006/metadata/properties" ma:root="true" ma:fieldsID="01b44c97246e2102939ec189c2043184" ns2:_="" ns3:_="">
    <xsd:import namespace="f113a436-d327-4268-9749-78455719f184"/>
    <xsd:import namespace="9301e0f2-eebd-4210-b713-a4d019014dd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13a436-d327-4268-9749-78455719f18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01e0f2-eebd-4210-b713-a4d019014dd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5ED750-4B8D-43E4-A5A1-8112E78185E6}">
  <ds:schemaRefs>
    <ds:schemaRef ds:uri="http://schemas.microsoft.com/sharepoint/v3/contenttype/forms"/>
  </ds:schemaRefs>
</ds:datastoreItem>
</file>

<file path=customXml/itemProps2.xml><?xml version="1.0" encoding="utf-8"?>
<ds:datastoreItem xmlns:ds="http://schemas.openxmlformats.org/officeDocument/2006/customXml" ds:itemID="{C4C8583D-8765-4EBD-B4D9-7D9BB9DC52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13a436-d327-4268-9749-78455719f184"/>
    <ds:schemaRef ds:uri="9301e0f2-eebd-4210-b713-a4d019014d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C7336C-AD3D-42C0-AE95-EC9DC5650C7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2</Pages>
  <Words>760</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Kopecky</dc:creator>
  <cp:keywords/>
  <dc:description/>
  <cp:lastModifiedBy>Danielle Kopecky</cp:lastModifiedBy>
  <cp:revision>10</cp:revision>
  <dcterms:created xsi:type="dcterms:W3CDTF">2021-03-26T15:27:00Z</dcterms:created>
  <dcterms:modified xsi:type="dcterms:W3CDTF">2021-03-31T16:13:00Z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0x010100C6EACDA8EA67E743BAC11E656682A7F9</vt:lpwstr>
  </property>
</Properties>
</file>