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B9185" w14:textId="77777777" w:rsidR="0096705B" w:rsidRPr="00B76C91" w:rsidRDefault="0096705B" w:rsidP="0096705B">
      <w:pPr>
        <w:jc w:val="center"/>
        <w:rPr>
          <w:b/>
          <w:bCs/>
          <w:color w:val="B84809"/>
          <w:sz w:val="28"/>
          <w:szCs w:val="28"/>
        </w:rPr>
      </w:pPr>
      <w:r>
        <w:rPr>
          <w:b/>
          <w:bCs/>
          <w:i/>
          <w:iCs/>
          <w:color w:val="B84809"/>
          <w:sz w:val="28"/>
          <w:szCs w:val="28"/>
        </w:rPr>
        <w:softHyphen/>
      </w:r>
      <w:r>
        <w:rPr>
          <w:b/>
          <w:bCs/>
          <w:i/>
          <w:iCs/>
          <w:color w:val="B84809"/>
          <w:sz w:val="28"/>
          <w:szCs w:val="28"/>
        </w:rPr>
        <w:softHyphen/>
      </w:r>
      <w:r>
        <w:rPr>
          <w:b/>
          <w:bCs/>
          <w:i/>
          <w:iCs/>
          <w:color w:val="B84809"/>
          <w:sz w:val="28"/>
          <w:szCs w:val="28"/>
        </w:rPr>
        <w:softHyphen/>
      </w:r>
      <w:r w:rsidRPr="00B76C91">
        <w:rPr>
          <w:b/>
          <w:bCs/>
          <w:i/>
          <w:iCs/>
          <w:color w:val="B84809"/>
          <w:sz w:val="28"/>
          <w:szCs w:val="28"/>
        </w:rPr>
        <w:t>environmental SCIENTIST</w:t>
      </w:r>
      <w:r w:rsidRPr="00B76C91">
        <w:rPr>
          <w:b/>
          <w:bCs/>
          <w:color w:val="B84809"/>
          <w:sz w:val="28"/>
          <w:szCs w:val="28"/>
        </w:rPr>
        <w:t xml:space="preserve"> journal: </w:t>
      </w:r>
      <w:r>
        <w:rPr>
          <w:b/>
          <w:bCs/>
          <w:color w:val="B84809"/>
          <w:sz w:val="28"/>
          <w:szCs w:val="28"/>
        </w:rPr>
        <w:t>L</w:t>
      </w:r>
      <w:r w:rsidRPr="00B76C91">
        <w:rPr>
          <w:b/>
          <w:bCs/>
          <w:color w:val="B84809"/>
          <w:sz w:val="28"/>
          <w:szCs w:val="28"/>
        </w:rPr>
        <w:t xml:space="preserve">earning </w:t>
      </w:r>
      <w:r>
        <w:rPr>
          <w:b/>
          <w:bCs/>
          <w:color w:val="B84809"/>
          <w:sz w:val="28"/>
          <w:szCs w:val="28"/>
        </w:rPr>
        <w:t>R</w:t>
      </w:r>
      <w:r w:rsidRPr="00B76C91">
        <w:rPr>
          <w:b/>
          <w:bCs/>
          <w:color w:val="B84809"/>
          <w:sz w:val="28"/>
          <w:szCs w:val="28"/>
        </w:rPr>
        <w:t xml:space="preserve">esource </w:t>
      </w:r>
      <w:r>
        <w:rPr>
          <w:b/>
          <w:bCs/>
          <w:color w:val="B84809"/>
          <w:sz w:val="28"/>
          <w:szCs w:val="28"/>
        </w:rPr>
        <w:t>N</w:t>
      </w:r>
      <w:r w:rsidRPr="00B76C91">
        <w:rPr>
          <w:b/>
          <w:bCs/>
          <w:color w:val="B84809"/>
          <w:sz w:val="28"/>
          <w:szCs w:val="28"/>
        </w:rPr>
        <w:t>otes</w:t>
      </w:r>
    </w:p>
    <w:p w14:paraId="66FA4353" w14:textId="77777777" w:rsidR="0096705B" w:rsidRDefault="0096705B" w:rsidP="0096705B">
      <w:pPr>
        <w:pStyle w:val="NoSpacing"/>
        <w:jc w:val="both"/>
      </w:pPr>
      <w:r w:rsidRPr="00707821">
        <w:t xml:space="preserve">The purpose of </w:t>
      </w:r>
      <w:r>
        <w:t>these educational resource</w:t>
      </w:r>
      <w:r w:rsidRPr="00707821">
        <w:t xml:space="preserve"> </w:t>
      </w:r>
      <w:r>
        <w:t xml:space="preserve">notes </w:t>
      </w:r>
      <w:r w:rsidRPr="00707821">
        <w:t>is to provide a format for informal, seminar-style discussions of the topics explored</w:t>
      </w:r>
      <w:r>
        <w:t xml:space="preserve"> in the latest edition of the journal of the Institution of Environmental Sciences. </w:t>
      </w:r>
    </w:p>
    <w:p w14:paraId="29F5C735" w14:textId="77777777" w:rsidR="0096705B" w:rsidRDefault="0096705B" w:rsidP="0096705B">
      <w:pPr>
        <w:pStyle w:val="NoSpacing"/>
        <w:jc w:val="both"/>
      </w:pPr>
      <w:r>
        <w:t xml:space="preserve"> </w:t>
      </w:r>
    </w:p>
    <w:p w14:paraId="54E7FFFD" w14:textId="77777777" w:rsidR="0096705B" w:rsidRDefault="0096705B" w:rsidP="0096705B">
      <w:pPr>
        <w:pStyle w:val="NoSpacing"/>
        <w:jc w:val="both"/>
      </w:pPr>
      <w:r>
        <w:t>T</w:t>
      </w:r>
      <w:r w:rsidRPr="00707821">
        <w:t>hrough discussion of the ideas and issues presented</w:t>
      </w:r>
      <w:r>
        <w:t xml:space="preserve"> within the journal</w:t>
      </w:r>
      <w:r w:rsidRPr="00707821">
        <w:t xml:space="preserve">, </w:t>
      </w:r>
      <w:r>
        <w:t xml:space="preserve">they </w:t>
      </w:r>
      <w:r w:rsidRPr="00707821">
        <w:t xml:space="preserve">aim to supplement and enhance students’ knowledge and understanding </w:t>
      </w:r>
      <w:r>
        <w:t>of</w:t>
      </w:r>
      <w:r w:rsidRPr="00707821">
        <w:t xml:space="preserve"> a broad range of environmental science issues</w:t>
      </w:r>
      <w:r>
        <w:t xml:space="preserve"> and provide insights into the professional concerns of practising environmental scientists.</w:t>
      </w:r>
    </w:p>
    <w:p w14:paraId="63546E8A" w14:textId="77777777" w:rsidR="0096705B" w:rsidRDefault="0096705B" w:rsidP="0096705B">
      <w:pPr>
        <w:pStyle w:val="NoSpacing"/>
        <w:rPr>
          <w:b/>
          <w:bCs/>
        </w:rPr>
      </w:pPr>
    </w:p>
    <w:p w14:paraId="392197F9" w14:textId="77777777" w:rsidR="0096705B" w:rsidRPr="00D33F67" w:rsidRDefault="0096705B" w:rsidP="0096705B">
      <w:pPr>
        <w:pStyle w:val="NoSpacing"/>
        <w:rPr>
          <w:b/>
          <w:bCs/>
        </w:rPr>
      </w:pPr>
      <w:r w:rsidRPr="00D33F67">
        <w:rPr>
          <w:b/>
          <w:bCs/>
        </w:rPr>
        <w:t>Articles in focus</w:t>
      </w:r>
      <w:r>
        <w:rPr>
          <w:b/>
          <w:bCs/>
        </w:rPr>
        <w:t xml:space="preserve"> </w:t>
      </w:r>
    </w:p>
    <w:p w14:paraId="58CFFE40" w14:textId="77777777" w:rsidR="0096705B" w:rsidRDefault="0096705B" w:rsidP="0096705B">
      <w:pPr>
        <w:pStyle w:val="NoSpacing"/>
        <w:jc w:val="both"/>
        <w:rPr>
          <w:color w:val="000000"/>
        </w:rPr>
      </w:pPr>
      <w:r>
        <w:t>The below articles have been selected as particularly relevant for in-depth discussion, allowing for wider debate of the key elements of the article topic. S</w:t>
      </w:r>
      <w:r w:rsidRPr="00876C46">
        <w:rPr>
          <w:rFonts w:ascii="Calibri" w:hAnsi="Calibri"/>
          <w:color w:val="000000"/>
        </w:rPr>
        <w:t xml:space="preserve">ome </w:t>
      </w:r>
      <w:r>
        <w:t>specific</w:t>
      </w:r>
      <w:r w:rsidRPr="00876C46">
        <w:rPr>
          <w:rFonts w:ascii="Calibri" w:hAnsi="Calibri"/>
          <w:color w:val="000000"/>
        </w:rPr>
        <w:t xml:space="preserve"> questions you may </w:t>
      </w:r>
      <w:r>
        <w:t>wish</w:t>
      </w:r>
      <w:r w:rsidRPr="00876C46">
        <w:rPr>
          <w:rFonts w:ascii="Calibri" w:hAnsi="Calibri"/>
          <w:color w:val="000000"/>
        </w:rPr>
        <w:t xml:space="preserve"> to consider when reading and discussing </w:t>
      </w:r>
      <w:r>
        <w:t xml:space="preserve">these </w:t>
      </w:r>
      <w:r w:rsidRPr="00876C46">
        <w:rPr>
          <w:rFonts w:ascii="Calibri" w:hAnsi="Calibri"/>
          <w:color w:val="000000"/>
        </w:rPr>
        <w:t>articles </w:t>
      </w:r>
      <w:r>
        <w:t>are outlined.</w:t>
      </w:r>
      <w:r w:rsidRPr="00876C46">
        <w:rPr>
          <w:color w:val="000000"/>
        </w:rPr>
        <w:t xml:space="preserve"> </w:t>
      </w:r>
    </w:p>
    <w:p w14:paraId="3E59D270" w14:textId="77777777" w:rsidR="0096705B" w:rsidRDefault="0096705B" w:rsidP="0096705B">
      <w:pPr>
        <w:pStyle w:val="NoSpacing"/>
        <w:jc w:val="both"/>
        <w:rPr>
          <w:color w:val="000000"/>
        </w:rPr>
      </w:pPr>
    </w:p>
    <w:p w14:paraId="16EAEFD4" w14:textId="77777777" w:rsidR="0096705B" w:rsidRPr="00D33F67" w:rsidRDefault="0096705B" w:rsidP="0096705B">
      <w:pPr>
        <w:pStyle w:val="NoSpacing"/>
        <w:jc w:val="both"/>
        <w:rPr>
          <w:color w:val="000000"/>
        </w:rPr>
      </w:pPr>
    </w:p>
    <w:p w14:paraId="4DFF4306" w14:textId="77777777" w:rsidR="0096705B" w:rsidRDefault="0096705B" w:rsidP="0096705B">
      <w:pPr>
        <w:pStyle w:val="NoSpacing"/>
      </w:pPr>
    </w:p>
    <w:tbl>
      <w:tblPr>
        <w:tblStyle w:val="TableGrid"/>
        <w:tblW w:w="9498" w:type="dxa"/>
        <w:tblInd w:w="-5" w:type="dxa"/>
        <w:tblLook w:val="04A0" w:firstRow="1" w:lastRow="0" w:firstColumn="1" w:lastColumn="0" w:noHBand="0" w:noVBand="1"/>
      </w:tblPr>
      <w:tblGrid>
        <w:gridCol w:w="1696"/>
        <w:gridCol w:w="7802"/>
      </w:tblGrid>
      <w:tr w:rsidR="0096705B" w14:paraId="66A5D860" w14:textId="77777777" w:rsidTr="004C3ED2">
        <w:trPr>
          <w:trHeight w:val="1375"/>
        </w:trPr>
        <w:tc>
          <w:tcPr>
            <w:tcW w:w="1696" w:type="dxa"/>
            <w:shd w:val="clear" w:color="auto" w:fill="D9D9D9" w:themeFill="background1" w:themeFillShade="D9"/>
            <w:vAlign w:val="center"/>
          </w:tcPr>
          <w:p w14:paraId="54BB210F" w14:textId="77777777" w:rsidR="0096705B" w:rsidRPr="00751B40" w:rsidRDefault="0096705B" w:rsidP="004C3ED2">
            <w:r w:rsidRPr="00751B40">
              <w:t>Learning outcomes</w:t>
            </w:r>
          </w:p>
        </w:tc>
        <w:tc>
          <w:tcPr>
            <w:tcW w:w="7802" w:type="dxa"/>
            <w:vAlign w:val="center"/>
          </w:tcPr>
          <w:p w14:paraId="29F01B29" w14:textId="77777777" w:rsidR="0096705B" w:rsidRDefault="0096705B" w:rsidP="0096705B">
            <w:pPr>
              <w:pStyle w:val="ListParagraph"/>
              <w:numPr>
                <w:ilvl w:val="0"/>
                <w:numId w:val="1"/>
              </w:numPr>
            </w:pPr>
            <w:r>
              <w:t xml:space="preserve">Understand the main ideas discussed in the </w:t>
            </w:r>
            <w:proofErr w:type="gramStart"/>
            <w:r>
              <w:t>publication</w:t>
            </w:r>
            <w:proofErr w:type="gramEnd"/>
            <w:r>
              <w:t xml:space="preserve"> </w:t>
            </w:r>
          </w:p>
          <w:p w14:paraId="7B4EBE25" w14:textId="77777777" w:rsidR="0096705B" w:rsidRDefault="0096705B" w:rsidP="0096705B">
            <w:pPr>
              <w:pStyle w:val="ListParagraph"/>
              <w:numPr>
                <w:ilvl w:val="0"/>
                <w:numId w:val="1"/>
              </w:numPr>
            </w:pPr>
            <w:r>
              <w:t xml:space="preserve">Describe the main conclusions and their relevance to the environmental science </w:t>
            </w:r>
            <w:proofErr w:type="gramStart"/>
            <w:r>
              <w:t>sector</w:t>
            </w:r>
            <w:proofErr w:type="gramEnd"/>
          </w:p>
          <w:p w14:paraId="16E191DF" w14:textId="77777777" w:rsidR="0096705B" w:rsidRPr="00751B40" w:rsidRDefault="0096705B" w:rsidP="0096705B">
            <w:pPr>
              <w:pStyle w:val="ListParagraph"/>
              <w:numPr>
                <w:ilvl w:val="0"/>
                <w:numId w:val="1"/>
              </w:numPr>
            </w:pPr>
            <w:r>
              <w:t>Critically reflect on the main concepts discussed</w:t>
            </w:r>
          </w:p>
        </w:tc>
      </w:tr>
      <w:tr w:rsidR="0096705B" w14:paraId="2163602D" w14:textId="77777777" w:rsidTr="004C3ED2">
        <w:trPr>
          <w:trHeight w:val="3110"/>
        </w:trPr>
        <w:tc>
          <w:tcPr>
            <w:tcW w:w="1696" w:type="dxa"/>
            <w:shd w:val="clear" w:color="auto" w:fill="D9D9D9" w:themeFill="background1" w:themeFillShade="D9"/>
            <w:vAlign w:val="center"/>
          </w:tcPr>
          <w:p w14:paraId="036AB5D8" w14:textId="77777777" w:rsidR="0096705B" w:rsidRPr="00751B40" w:rsidRDefault="0096705B" w:rsidP="004C3ED2">
            <w:r>
              <w:t>Format</w:t>
            </w:r>
          </w:p>
        </w:tc>
        <w:tc>
          <w:tcPr>
            <w:tcW w:w="7802" w:type="dxa"/>
            <w:vAlign w:val="center"/>
          </w:tcPr>
          <w:p w14:paraId="2FCEC037" w14:textId="77777777" w:rsidR="0096705B" w:rsidRDefault="0096705B" w:rsidP="004C3ED2">
            <w:pPr>
              <w:pStyle w:val="NoSpacing"/>
              <w:numPr>
                <w:ilvl w:val="0"/>
                <w:numId w:val="1"/>
              </w:numPr>
            </w:pPr>
            <w:r>
              <w:t xml:space="preserve">Articles of particular interest are to be selected and shared with the group to read ahead of the discussion. Suggestions of focus articles are attached </w:t>
            </w:r>
            <w:proofErr w:type="gramStart"/>
            <w:r>
              <w:t>here</w:t>
            </w:r>
            <w:proofErr w:type="gramEnd"/>
          </w:p>
          <w:p w14:paraId="29B0BFEB" w14:textId="77777777" w:rsidR="0096705B" w:rsidRDefault="0096705B" w:rsidP="004C3ED2">
            <w:pPr>
              <w:pStyle w:val="NoSpacing"/>
              <w:numPr>
                <w:ilvl w:val="0"/>
                <w:numId w:val="1"/>
              </w:numPr>
            </w:pPr>
            <w:r>
              <w:t xml:space="preserve">Small group discussions of articles that closely relate to programme content to supplement </w:t>
            </w:r>
            <w:proofErr w:type="gramStart"/>
            <w:r>
              <w:t>learning</w:t>
            </w:r>
            <w:proofErr w:type="gramEnd"/>
          </w:p>
          <w:p w14:paraId="7CBF6E36" w14:textId="77777777" w:rsidR="0096705B" w:rsidRDefault="0096705B" w:rsidP="004C3ED2">
            <w:pPr>
              <w:pStyle w:val="NoSpacing"/>
              <w:numPr>
                <w:ilvl w:val="0"/>
                <w:numId w:val="1"/>
              </w:numPr>
            </w:pPr>
            <w:r>
              <w:t xml:space="preserve">Discussions can be led by participants or the tutor, using the ‘articles in focus’ resource to prompt debate and aid the </w:t>
            </w:r>
            <w:proofErr w:type="gramStart"/>
            <w:r>
              <w:t>conversation</w:t>
            </w:r>
            <w:proofErr w:type="gramEnd"/>
          </w:p>
          <w:p w14:paraId="56F417A2" w14:textId="77777777" w:rsidR="0096705B" w:rsidRDefault="0096705B" w:rsidP="004C3ED2">
            <w:pPr>
              <w:pStyle w:val="NoSpacing"/>
              <w:numPr>
                <w:ilvl w:val="0"/>
                <w:numId w:val="1"/>
              </w:numPr>
            </w:pPr>
            <w:r w:rsidRPr="00095DF9">
              <w:t>The suggested discussion points</w:t>
            </w:r>
            <w:r>
              <w:t xml:space="preserve"> and </w:t>
            </w:r>
            <w:r w:rsidRPr="00095DF9">
              <w:t xml:space="preserve">questions provided in this pack for selected articles can be used as a starting point to guide the </w:t>
            </w:r>
            <w:proofErr w:type="gramStart"/>
            <w:r w:rsidRPr="00095DF9">
              <w:t>discussion</w:t>
            </w:r>
            <w:proofErr w:type="gramEnd"/>
            <w:r>
              <w:t xml:space="preserve"> </w:t>
            </w:r>
          </w:p>
          <w:p w14:paraId="6D3B922B" w14:textId="77777777" w:rsidR="0096705B" w:rsidRPr="00D33F67" w:rsidRDefault="0096705B" w:rsidP="004C3ED2">
            <w:pPr>
              <w:pStyle w:val="NoSpacing"/>
              <w:numPr>
                <w:ilvl w:val="0"/>
                <w:numId w:val="1"/>
              </w:numPr>
            </w:pPr>
            <w:r>
              <w:t>Students can be encouraged to choose to discuss any of the other articles within the issue</w:t>
            </w:r>
          </w:p>
        </w:tc>
      </w:tr>
    </w:tbl>
    <w:p w14:paraId="7C6D6F31" w14:textId="77777777" w:rsidR="0096705B" w:rsidRPr="00EA0741" w:rsidRDefault="0096705B" w:rsidP="0096705B">
      <w:pPr>
        <w:rPr>
          <w:sz w:val="20"/>
          <w:szCs w:val="20"/>
        </w:rPr>
      </w:pPr>
    </w:p>
    <w:p w14:paraId="0D4FAAA2" w14:textId="340FC118" w:rsidR="0096705B" w:rsidRDefault="0096705B" w:rsidP="0096705B">
      <w:pPr>
        <w:rPr>
          <w:b/>
          <w:bCs/>
        </w:rPr>
      </w:pPr>
      <w:r>
        <w:rPr>
          <w:noProof/>
          <w14:ligatures w14:val="standardContextual"/>
        </w:rPr>
        <w:drawing>
          <wp:anchor distT="0" distB="0" distL="114300" distR="114300" simplePos="0" relativeHeight="251659264" behindDoc="0" locked="0" layoutInCell="1" allowOverlap="1" wp14:anchorId="242E8A78" wp14:editId="16E06C9D">
            <wp:simplePos x="0" y="0"/>
            <wp:positionH relativeFrom="column">
              <wp:posOffset>0</wp:posOffset>
            </wp:positionH>
            <wp:positionV relativeFrom="paragraph">
              <wp:posOffset>38100</wp:posOffset>
            </wp:positionV>
            <wp:extent cx="1629410" cy="2276475"/>
            <wp:effectExtent l="0" t="0" r="8890" b="9525"/>
            <wp:wrapSquare wrapText="bothSides"/>
            <wp:docPr id="1600721181" name="Picture 1600721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0721181" name="Picture 160072118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29410" cy="2276475"/>
                    </a:xfrm>
                    <a:prstGeom prst="rect">
                      <a:avLst/>
                    </a:prstGeom>
                  </pic:spPr>
                </pic:pic>
              </a:graphicData>
            </a:graphic>
            <wp14:sizeRelV relativeFrom="margin">
              <wp14:pctHeight>0</wp14:pctHeight>
            </wp14:sizeRelV>
          </wp:anchor>
        </w:drawing>
      </w:r>
      <w:r w:rsidRPr="00B76C91">
        <w:t>e</w:t>
      </w:r>
      <w:r w:rsidRPr="61B65E75">
        <w:rPr>
          <w:i/>
          <w:iCs/>
        </w:rPr>
        <w:t>nvironmental SCIENTIST</w:t>
      </w:r>
      <w:r>
        <w:rPr>
          <w:b/>
          <w:bCs/>
        </w:rPr>
        <w:br/>
      </w:r>
      <w:r w:rsidR="00CE3369">
        <w:rPr>
          <w:b/>
          <w:bCs/>
        </w:rPr>
        <w:t>Watertight Solutions</w:t>
      </w:r>
      <w:r>
        <w:rPr>
          <w:b/>
          <w:bCs/>
        </w:rPr>
        <w:br/>
      </w:r>
      <w:r w:rsidRPr="00B76C91">
        <w:t xml:space="preserve">Vol </w:t>
      </w:r>
      <w:r>
        <w:t xml:space="preserve">32, issue </w:t>
      </w:r>
      <w:r w:rsidR="00CE3369">
        <w:t>4</w:t>
      </w:r>
    </w:p>
    <w:p w14:paraId="4451B7D5" w14:textId="53E13170" w:rsidR="0096705B" w:rsidRDefault="00D54607" w:rsidP="0096705B">
      <w:pPr>
        <w:pStyle w:val="NoSpacing"/>
        <w:rPr>
          <w:b/>
          <w:bCs/>
        </w:rPr>
      </w:pPr>
      <w:hyperlink r:id="rId11" w:history="1">
        <w:r w:rsidR="00CE3369" w:rsidRPr="00467E49">
          <w:rPr>
            <w:rStyle w:val="Hyperlink"/>
          </w:rPr>
          <w:t>https://www.the-ies.org/resources/watertight-solutions</w:t>
        </w:r>
      </w:hyperlink>
      <w:r w:rsidR="00CE3369">
        <w:t xml:space="preserve"> </w:t>
      </w:r>
    </w:p>
    <w:p w14:paraId="0E063BF3" w14:textId="77777777" w:rsidR="0096705B" w:rsidRDefault="0096705B" w:rsidP="0096705B">
      <w:pPr>
        <w:pStyle w:val="NoSpacing"/>
        <w:rPr>
          <w:b/>
          <w:bCs/>
        </w:rPr>
      </w:pPr>
    </w:p>
    <w:p w14:paraId="20369D64" w14:textId="77777777" w:rsidR="0096705B" w:rsidRDefault="0096705B" w:rsidP="0096705B">
      <w:pPr>
        <w:pStyle w:val="NoSpacing"/>
        <w:rPr>
          <w:b/>
          <w:bCs/>
        </w:rPr>
      </w:pPr>
    </w:p>
    <w:p w14:paraId="6A40BD13" w14:textId="77777777" w:rsidR="0096705B" w:rsidRDefault="0096705B" w:rsidP="0096705B">
      <w:pPr>
        <w:pStyle w:val="NoSpacing"/>
        <w:rPr>
          <w:b/>
          <w:bCs/>
          <w:sz w:val="30"/>
          <w:szCs w:val="30"/>
        </w:rPr>
      </w:pPr>
    </w:p>
    <w:p w14:paraId="50A26123" w14:textId="77777777" w:rsidR="0096705B" w:rsidRDefault="0096705B" w:rsidP="0096705B">
      <w:pPr>
        <w:pStyle w:val="NoSpacing"/>
        <w:rPr>
          <w:b/>
          <w:bCs/>
          <w:sz w:val="30"/>
          <w:szCs w:val="30"/>
        </w:rPr>
      </w:pPr>
    </w:p>
    <w:p w14:paraId="00755063" w14:textId="77777777" w:rsidR="0096705B" w:rsidRPr="00EA0741" w:rsidRDefault="0096705B" w:rsidP="0096705B">
      <w:pPr>
        <w:pStyle w:val="NoSpacing"/>
        <w:rPr>
          <w:b/>
          <w:bCs/>
          <w:sz w:val="30"/>
          <w:szCs w:val="30"/>
        </w:rPr>
      </w:pPr>
    </w:p>
    <w:p w14:paraId="2F99A32F" w14:textId="77777777" w:rsidR="0096705B" w:rsidRPr="00EA0741" w:rsidRDefault="0096705B" w:rsidP="0096705B">
      <w:pPr>
        <w:pStyle w:val="NoSpacing"/>
        <w:rPr>
          <w:b/>
          <w:bCs/>
          <w:sz w:val="2"/>
          <w:szCs w:val="2"/>
        </w:rPr>
      </w:pPr>
    </w:p>
    <w:tbl>
      <w:tblPr>
        <w:tblStyle w:val="TableGrid"/>
        <w:tblW w:w="9498" w:type="dxa"/>
        <w:tblInd w:w="-5" w:type="dxa"/>
        <w:tblLook w:val="04A0" w:firstRow="1" w:lastRow="0" w:firstColumn="1" w:lastColumn="0" w:noHBand="0" w:noVBand="1"/>
      </w:tblPr>
      <w:tblGrid>
        <w:gridCol w:w="1701"/>
        <w:gridCol w:w="7797"/>
      </w:tblGrid>
      <w:tr w:rsidR="0096705B" w:rsidRPr="008C066D" w14:paraId="44FCE71A" w14:textId="77777777" w:rsidTr="330AAA87">
        <w:trPr>
          <w:trHeight w:val="2162"/>
        </w:trPr>
        <w:tc>
          <w:tcPr>
            <w:tcW w:w="1701" w:type="dxa"/>
            <w:shd w:val="clear" w:color="auto" w:fill="D9D9D9" w:themeFill="background1" w:themeFillShade="D9"/>
            <w:vAlign w:val="center"/>
          </w:tcPr>
          <w:p w14:paraId="341604EA" w14:textId="77777777" w:rsidR="0096705B" w:rsidRPr="00111858" w:rsidRDefault="0096705B" w:rsidP="004C3ED2">
            <w:pPr>
              <w:rPr>
                <w:b/>
                <w:bCs/>
              </w:rPr>
            </w:pPr>
            <w:r w:rsidRPr="00111858">
              <w:rPr>
                <w:b/>
                <w:bCs/>
              </w:rPr>
              <w:lastRenderedPageBreak/>
              <w:t xml:space="preserve">Topic overview </w:t>
            </w:r>
          </w:p>
        </w:tc>
        <w:tc>
          <w:tcPr>
            <w:tcW w:w="7797" w:type="dxa"/>
            <w:vAlign w:val="center"/>
          </w:tcPr>
          <w:p w14:paraId="5BE71596" w14:textId="2307132D" w:rsidR="00CE3369" w:rsidRDefault="00CE3369" w:rsidP="00CE3369">
            <w:pPr>
              <w:pStyle w:val="NoSpacing"/>
              <w:spacing w:before="60" w:after="240"/>
            </w:pPr>
            <w:r>
              <w:t>The water crisis is now a familiar feature in the UK media: from sewage discharges released into our rivers and seas, to plastic pollution damaging our wastewater systems, and droughts and floods becoming an increasingly frequent concern as our climate changes.</w:t>
            </w:r>
          </w:p>
          <w:p w14:paraId="36AA7951" w14:textId="4B33F33C" w:rsidR="0096705B" w:rsidRPr="00EA0741" w:rsidRDefault="00CE3369" w:rsidP="00CE3369">
            <w:pPr>
              <w:pStyle w:val="NoSpacing"/>
              <w:spacing w:before="60"/>
            </w:pPr>
            <w:r>
              <w:t>However, amongst the growing pressures our water infrastructure faces, there are innovative governance, technological, and behavioural solutions emerging from experts and professionals across the water sector. Contributors to this issue of environmental SCIENTIST cover topics that range from wastewater to citizen science and pollution, and they address the crucial ways we can adapt our understanding and management of water in the UK, to respond to multiple environmental and anthropogenic challenges.</w:t>
            </w:r>
          </w:p>
        </w:tc>
      </w:tr>
      <w:tr w:rsidR="0096705B" w:rsidRPr="008C066D" w14:paraId="250B568F" w14:textId="77777777" w:rsidTr="330AAA87">
        <w:trPr>
          <w:trHeight w:val="289"/>
        </w:trPr>
        <w:tc>
          <w:tcPr>
            <w:tcW w:w="9498" w:type="dxa"/>
            <w:gridSpan w:val="2"/>
            <w:shd w:val="clear" w:color="auto" w:fill="D9D9D9" w:themeFill="background1" w:themeFillShade="D9"/>
          </w:tcPr>
          <w:p w14:paraId="353A9FA5" w14:textId="77777777" w:rsidR="0096705B" w:rsidRPr="00111858" w:rsidRDefault="0096705B" w:rsidP="004C3ED2">
            <w:pPr>
              <w:pStyle w:val="NoSpacing"/>
              <w:jc w:val="center"/>
              <w:rPr>
                <w:b/>
                <w:bCs/>
              </w:rPr>
            </w:pPr>
            <w:r w:rsidRPr="00111858">
              <w:rPr>
                <w:b/>
                <w:bCs/>
              </w:rPr>
              <w:t xml:space="preserve">Articles in </w:t>
            </w:r>
            <w:r>
              <w:rPr>
                <w:b/>
                <w:bCs/>
              </w:rPr>
              <w:t>f</w:t>
            </w:r>
            <w:r w:rsidRPr="00111858">
              <w:rPr>
                <w:b/>
                <w:bCs/>
              </w:rPr>
              <w:t>ocus</w:t>
            </w:r>
          </w:p>
        </w:tc>
      </w:tr>
      <w:tr w:rsidR="0096705B" w:rsidRPr="008C066D" w14:paraId="051AC151" w14:textId="77777777" w:rsidTr="330AAA87">
        <w:trPr>
          <w:trHeight w:val="965"/>
        </w:trPr>
        <w:tc>
          <w:tcPr>
            <w:tcW w:w="1701" w:type="dxa"/>
            <w:vMerge w:val="restart"/>
            <w:shd w:val="clear" w:color="auto" w:fill="D9D9D9" w:themeFill="background1" w:themeFillShade="D9"/>
            <w:vAlign w:val="center"/>
          </w:tcPr>
          <w:p w14:paraId="59734F5B" w14:textId="77777777" w:rsidR="007C15B0" w:rsidRDefault="007C15B0" w:rsidP="004C3ED2">
            <w:pPr>
              <w:rPr>
                <w:b/>
                <w:bCs/>
              </w:rPr>
            </w:pPr>
            <w:r w:rsidRPr="007C15B0">
              <w:rPr>
                <w:b/>
                <w:bCs/>
              </w:rPr>
              <w:t xml:space="preserve">Urban drainage in the UK: a water industry in crisis </w:t>
            </w:r>
          </w:p>
          <w:p w14:paraId="31D2C80E" w14:textId="77777777" w:rsidR="007C15B0" w:rsidRDefault="007C15B0" w:rsidP="004C3ED2">
            <w:pPr>
              <w:rPr>
                <w:b/>
                <w:bCs/>
              </w:rPr>
            </w:pPr>
          </w:p>
          <w:p w14:paraId="579E19DF" w14:textId="3ADCFC89" w:rsidR="0096705B" w:rsidRPr="008C7366" w:rsidRDefault="007C15B0" w:rsidP="004C3ED2">
            <w:pPr>
              <w:rPr>
                <w:b/>
                <w:bCs/>
              </w:rPr>
            </w:pPr>
            <w:r w:rsidRPr="007C15B0">
              <w:rPr>
                <w:b/>
                <w:bCs/>
              </w:rPr>
              <w:t xml:space="preserve">Richard Ashley &amp; Brian Smith </w:t>
            </w:r>
            <w:r>
              <w:rPr>
                <w:b/>
                <w:bCs/>
              </w:rPr>
              <w:t>(p. 22)</w:t>
            </w:r>
          </w:p>
        </w:tc>
        <w:tc>
          <w:tcPr>
            <w:tcW w:w="7797" w:type="dxa"/>
            <w:shd w:val="clear" w:color="auto" w:fill="E7E6E6" w:themeFill="background2"/>
            <w:vAlign w:val="center"/>
          </w:tcPr>
          <w:p w14:paraId="67536371" w14:textId="7D213EC3" w:rsidR="0096705B" w:rsidRPr="00631919" w:rsidRDefault="0096705B" w:rsidP="004C3ED2">
            <w:pPr>
              <w:pStyle w:val="NoSpacing"/>
            </w:pPr>
            <w:r w:rsidRPr="330AAA87">
              <w:rPr>
                <w:b/>
                <w:bCs/>
              </w:rPr>
              <w:t>Article overview:</w:t>
            </w:r>
            <w:r>
              <w:t xml:space="preserve"> </w:t>
            </w:r>
            <w:r w:rsidR="00F92849">
              <w:t xml:space="preserve">This article considers the most pressing issues faced by the UK’s wastewater infrastructure and evaluates a range of solutions for addressing these challenges to help stabilise and future-proof our sewage systems. </w:t>
            </w:r>
          </w:p>
        </w:tc>
      </w:tr>
      <w:tr w:rsidR="0096705B" w:rsidRPr="008C066D" w14:paraId="6C9A0274" w14:textId="77777777" w:rsidTr="330AAA87">
        <w:trPr>
          <w:trHeight w:val="2539"/>
        </w:trPr>
        <w:tc>
          <w:tcPr>
            <w:tcW w:w="1701" w:type="dxa"/>
            <w:vMerge/>
          </w:tcPr>
          <w:p w14:paraId="6E76FD0A" w14:textId="77777777" w:rsidR="0096705B" w:rsidRPr="0007383B" w:rsidRDefault="0096705B" w:rsidP="004C3ED2">
            <w:pPr>
              <w:rPr>
                <w:b/>
                <w:bCs/>
              </w:rPr>
            </w:pPr>
          </w:p>
        </w:tc>
        <w:tc>
          <w:tcPr>
            <w:tcW w:w="7797" w:type="dxa"/>
            <w:vAlign w:val="center"/>
          </w:tcPr>
          <w:p w14:paraId="65AA3736" w14:textId="77777777" w:rsidR="0096705B" w:rsidRDefault="00E17A3B" w:rsidP="0096705B">
            <w:pPr>
              <w:pStyle w:val="ListParagraph"/>
              <w:numPr>
                <w:ilvl w:val="0"/>
                <w:numId w:val="2"/>
              </w:numPr>
              <w:spacing w:after="160"/>
            </w:pPr>
            <w:r>
              <w:t xml:space="preserve">Describe how the combined sewer overflows (CSOs) were originally </w:t>
            </w:r>
            <w:proofErr w:type="gramStart"/>
            <w:r>
              <w:t>introduced, and</w:t>
            </w:r>
            <w:proofErr w:type="gramEnd"/>
            <w:r>
              <w:t xml:space="preserve"> explain why they were necessary.</w:t>
            </w:r>
          </w:p>
          <w:p w14:paraId="057A0555" w14:textId="24C39B0B" w:rsidR="00E17A3B" w:rsidRDefault="00F11B37" w:rsidP="0096705B">
            <w:pPr>
              <w:pStyle w:val="ListParagraph"/>
              <w:numPr>
                <w:ilvl w:val="0"/>
                <w:numId w:val="2"/>
              </w:numPr>
              <w:spacing w:after="160"/>
            </w:pPr>
            <w:r>
              <w:t xml:space="preserve">Identify </w:t>
            </w:r>
            <w:r w:rsidR="00B000BD">
              <w:t xml:space="preserve">three pressures on </w:t>
            </w:r>
            <w:r w:rsidR="007C18A8">
              <w:t>the UK’s</w:t>
            </w:r>
            <w:r w:rsidR="00B000BD">
              <w:t xml:space="preserve"> sewerage systems that are likely to intensify or worsen over time.</w:t>
            </w:r>
          </w:p>
          <w:p w14:paraId="5ACFAFD9" w14:textId="51F53593" w:rsidR="006F3585" w:rsidRPr="00BD302E" w:rsidRDefault="007F6277" w:rsidP="00D54607">
            <w:pPr>
              <w:pStyle w:val="ListParagraph"/>
              <w:numPr>
                <w:ilvl w:val="0"/>
                <w:numId w:val="2"/>
              </w:numPr>
              <w:spacing w:after="160"/>
            </w:pPr>
            <w:r>
              <w:t>Evaluate the barriers to a UK-wide adoption of successful wastewater management techniques that have been implemented elsewhere.</w:t>
            </w:r>
            <w:r w:rsidR="00D54607">
              <w:t xml:space="preserve"> Has</w:t>
            </w:r>
            <w:r w:rsidR="00D54607">
              <w:t xml:space="preserve"> Brexit impacted on the UK’s approach to addressing problems in our wastewater systems?</w:t>
            </w:r>
            <w:r w:rsidR="00D54607">
              <w:t xml:space="preserve"> If so, how?</w:t>
            </w:r>
          </w:p>
        </w:tc>
      </w:tr>
      <w:tr w:rsidR="0096705B" w:rsidRPr="008C066D" w14:paraId="329F7673" w14:textId="77777777" w:rsidTr="330AAA87">
        <w:trPr>
          <w:trHeight w:val="987"/>
        </w:trPr>
        <w:tc>
          <w:tcPr>
            <w:tcW w:w="1701" w:type="dxa"/>
            <w:vMerge w:val="restart"/>
            <w:shd w:val="clear" w:color="auto" w:fill="D9D9D9" w:themeFill="background1" w:themeFillShade="D9"/>
            <w:vAlign w:val="center"/>
          </w:tcPr>
          <w:p w14:paraId="75203D7C" w14:textId="77777777" w:rsidR="007C15B0" w:rsidRDefault="007C15B0" w:rsidP="004C3ED2">
            <w:pPr>
              <w:rPr>
                <w:b/>
                <w:bCs/>
              </w:rPr>
            </w:pPr>
            <w:r w:rsidRPr="007C15B0">
              <w:rPr>
                <w:b/>
                <w:bCs/>
              </w:rPr>
              <w:t>Chemical pollution of our freshwaters</w:t>
            </w:r>
          </w:p>
          <w:p w14:paraId="690131DC" w14:textId="77777777" w:rsidR="007C15B0" w:rsidRDefault="007C15B0" w:rsidP="004C3ED2">
            <w:pPr>
              <w:rPr>
                <w:b/>
                <w:bCs/>
              </w:rPr>
            </w:pPr>
          </w:p>
          <w:p w14:paraId="5D8D4132" w14:textId="01A85C60" w:rsidR="0096705B" w:rsidRPr="0007383B" w:rsidRDefault="007C15B0" w:rsidP="004C3ED2">
            <w:pPr>
              <w:rPr>
                <w:b/>
                <w:bCs/>
              </w:rPr>
            </w:pPr>
            <w:r w:rsidRPr="007C15B0">
              <w:rPr>
                <w:b/>
                <w:bCs/>
              </w:rPr>
              <w:t>Dr Rob Collins, Emma Adler, Dr Josh Jones &amp; Anneka France</w:t>
            </w:r>
            <w:r>
              <w:rPr>
                <w:b/>
                <w:bCs/>
              </w:rPr>
              <w:t xml:space="preserve"> (p. 50)</w:t>
            </w:r>
          </w:p>
        </w:tc>
        <w:tc>
          <w:tcPr>
            <w:tcW w:w="7797" w:type="dxa"/>
            <w:shd w:val="clear" w:color="auto" w:fill="E7E6E6" w:themeFill="background2"/>
            <w:vAlign w:val="center"/>
          </w:tcPr>
          <w:p w14:paraId="0F0AF681" w14:textId="3CAFDC62" w:rsidR="0096705B" w:rsidRPr="00DC1FEB" w:rsidRDefault="0096705B" w:rsidP="004C3ED2">
            <w:pPr>
              <w:pStyle w:val="NoSpacing"/>
            </w:pPr>
            <w:r>
              <w:rPr>
                <w:b/>
                <w:bCs/>
              </w:rPr>
              <w:t>Article overview:</w:t>
            </w:r>
            <w:r w:rsidRPr="002D07E1">
              <w:t xml:space="preserve"> </w:t>
            </w:r>
            <w:r w:rsidR="00F92849">
              <w:t xml:space="preserve">This article surveys the numerous ways in which the UK’s freshwater ponds, rivers, and lakes are becoming polluted by the release of chemicals from human </w:t>
            </w:r>
            <w:proofErr w:type="gramStart"/>
            <w:r w:rsidR="00F92849">
              <w:t>activities, and</w:t>
            </w:r>
            <w:proofErr w:type="gramEnd"/>
            <w:r w:rsidR="00F92849">
              <w:t xml:space="preserve"> highlight ways to prevent further chemical pollution and mitigate existing problems.</w:t>
            </w:r>
          </w:p>
        </w:tc>
      </w:tr>
      <w:tr w:rsidR="0096705B" w:rsidRPr="008C066D" w14:paraId="6C7181D7" w14:textId="77777777" w:rsidTr="330AAA87">
        <w:trPr>
          <w:trHeight w:val="2542"/>
        </w:trPr>
        <w:tc>
          <w:tcPr>
            <w:tcW w:w="1701" w:type="dxa"/>
            <w:vMerge/>
          </w:tcPr>
          <w:p w14:paraId="2A8FED79" w14:textId="77777777" w:rsidR="0096705B" w:rsidRPr="0007383B" w:rsidRDefault="0096705B" w:rsidP="004C3ED2">
            <w:pPr>
              <w:rPr>
                <w:b/>
                <w:bCs/>
              </w:rPr>
            </w:pPr>
          </w:p>
        </w:tc>
        <w:tc>
          <w:tcPr>
            <w:tcW w:w="7797" w:type="dxa"/>
            <w:vAlign w:val="center"/>
          </w:tcPr>
          <w:p w14:paraId="4618BD22" w14:textId="63BEBD13" w:rsidR="0096705B" w:rsidRDefault="006F095A" w:rsidP="0096705B">
            <w:pPr>
              <w:pStyle w:val="ListParagraph"/>
              <w:numPr>
                <w:ilvl w:val="0"/>
                <w:numId w:val="4"/>
              </w:numPr>
            </w:pPr>
            <w:r>
              <w:t>Explain</w:t>
            </w:r>
            <w:r w:rsidR="0074429B">
              <w:t xml:space="preserve"> the </w:t>
            </w:r>
            <w:r w:rsidR="00D52566">
              <w:t xml:space="preserve">cycle </w:t>
            </w:r>
            <w:r>
              <w:t>through</w:t>
            </w:r>
            <w:r w:rsidR="00D52566">
              <w:t xml:space="preserve"> which harmful chemicals accumulate in higher-order mammals</w:t>
            </w:r>
            <w:r>
              <w:t xml:space="preserve"> from our freshwater systems.</w:t>
            </w:r>
          </w:p>
          <w:p w14:paraId="2B4947D6" w14:textId="53D16555" w:rsidR="006F095A" w:rsidRDefault="00CD3052" w:rsidP="0096705B">
            <w:pPr>
              <w:pStyle w:val="ListParagraph"/>
              <w:numPr>
                <w:ilvl w:val="0"/>
                <w:numId w:val="4"/>
              </w:numPr>
            </w:pPr>
            <w:r>
              <w:t xml:space="preserve">How can chemicals </w:t>
            </w:r>
            <w:proofErr w:type="gramStart"/>
            <w:r>
              <w:t>polluting</w:t>
            </w:r>
            <w:proofErr w:type="gramEnd"/>
            <w:r>
              <w:t xml:space="preserve"> freshwater systems impact on human health?</w:t>
            </w:r>
          </w:p>
          <w:p w14:paraId="758A51CF" w14:textId="001681B2" w:rsidR="0009116A" w:rsidRDefault="00CD3052" w:rsidP="0096705B">
            <w:pPr>
              <w:pStyle w:val="ListParagraph"/>
              <w:numPr>
                <w:ilvl w:val="0"/>
                <w:numId w:val="4"/>
              </w:numPr>
            </w:pPr>
            <w:r>
              <w:t xml:space="preserve">The authors in this article </w:t>
            </w:r>
            <w:r w:rsidR="00855EBA">
              <w:t>identify a</w:t>
            </w:r>
            <w:r w:rsidR="00EA778F">
              <w:t>n issue with the current chemical legislation when assessing risk of hazardous substances.</w:t>
            </w:r>
            <w:r w:rsidR="00215250">
              <w:t xml:space="preserve"> What is this problem</w:t>
            </w:r>
            <w:r w:rsidR="00196DB3">
              <w:t>, and wha</w:t>
            </w:r>
            <w:r w:rsidR="00602BEE">
              <w:t>t solutions are proposed?</w:t>
            </w:r>
          </w:p>
          <w:p w14:paraId="0437F26C" w14:textId="7C24B731" w:rsidR="00CD3052" w:rsidRDefault="004B4A6A" w:rsidP="00E65E51">
            <w:pPr>
              <w:pStyle w:val="ListParagraph"/>
              <w:numPr>
                <w:ilvl w:val="0"/>
                <w:numId w:val="4"/>
              </w:numPr>
            </w:pPr>
            <w:r>
              <w:t>Compare the environmental impacts of each chemical group discussed in the article</w:t>
            </w:r>
            <w:r w:rsidR="00E65E51">
              <w:t xml:space="preserve">. Which </w:t>
            </w:r>
            <w:r w:rsidR="00607B82">
              <w:t>group</w:t>
            </w:r>
            <w:r w:rsidR="00E65E51">
              <w:t xml:space="preserve"> </w:t>
            </w:r>
            <w:r w:rsidR="00786A66">
              <w:t>is the most harmful, in your view, and why?</w:t>
            </w:r>
          </w:p>
          <w:p w14:paraId="3E1CA84E" w14:textId="77777777" w:rsidR="0096705B" w:rsidRPr="002D7DC0" w:rsidRDefault="0096705B" w:rsidP="004C3ED2">
            <w:pPr>
              <w:pStyle w:val="ListParagraph"/>
              <w:ind w:left="360"/>
            </w:pPr>
          </w:p>
        </w:tc>
      </w:tr>
      <w:tr w:rsidR="0096705B" w:rsidRPr="008C066D" w14:paraId="07671CD8" w14:textId="77777777" w:rsidTr="330AAA87">
        <w:trPr>
          <w:trHeight w:val="983"/>
        </w:trPr>
        <w:tc>
          <w:tcPr>
            <w:tcW w:w="1701" w:type="dxa"/>
            <w:vMerge w:val="restart"/>
            <w:shd w:val="clear" w:color="auto" w:fill="D9D9D9" w:themeFill="background1" w:themeFillShade="D9"/>
          </w:tcPr>
          <w:p w14:paraId="35D14BFE" w14:textId="77777777" w:rsidR="007C15B0" w:rsidRDefault="007C15B0" w:rsidP="004C3ED2">
            <w:pPr>
              <w:rPr>
                <w:b/>
                <w:bCs/>
              </w:rPr>
            </w:pPr>
            <w:r w:rsidRPr="007C15B0">
              <w:rPr>
                <w:b/>
                <w:bCs/>
              </w:rPr>
              <w:t>Unlocking water supply constraints on growth</w:t>
            </w:r>
          </w:p>
          <w:p w14:paraId="4216BC36" w14:textId="77777777" w:rsidR="007C15B0" w:rsidRDefault="007C15B0" w:rsidP="004C3ED2">
            <w:pPr>
              <w:rPr>
                <w:b/>
                <w:bCs/>
              </w:rPr>
            </w:pPr>
          </w:p>
          <w:p w14:paraId="4A0559FF" w14:textId="24EF1751" w:rsidR="0096705B" w:rsidRPr="0007383B" w:rsidRDefault="007C15B0" w:rsidP="004C3ED2">
            <w:pPr>
              <w:rPr>
                <w:b/>
                <w:bCs/>
              </w:rPr>
            </w:pPr>
            <w:r w:rsidRPr="007C15B0">
              <w:rPr>
                <w:b/>
                <w:bCs/>
              </w:rPr>
              <w:t>Daniel Johns</w:t>
            </w:r>
            <w:r>
              <w:rPr>
                <w:b/>
                <w:bCs/>
              </w:rPr>
              <w:t xml:space="preserve"> (p. 58)</w:t>
            </w:r>
          </w:p>
        </w:tc>
        <w:tc>
          <w:tcPr>
            <w:tcW w:w="7797" w:type="dxa"/>
            <w:shd w:val="clear" w:color="auto" w:fill="E7E6E6" w:themeFill="background2"/>
            <w:vAlign w:val="center"/>
          </w:tcPr>
          <w:p w14:paraId="4A5A5B23" w14:textId="5C79C972" w:rsidR="0096705B" w:rsidRPr="00E46DBA" w:rsidRDefault="0096705B" w:rsidP="004C3ED2">
            <w:pPr>
              <w:pStyle w:val="NoSpacing"/>
              <w:rPr>
                <w:highlight w:val="yellow"/>
              </w:rPr>
            </w:pPr>
            <w:r w:rsidRPr="00FC33BE">
              <w:rPr>
                <w:b/>
                <w:bCs/>
              </w:rPr>
              <w:lastRenderedPageBreak/>
              <w:t>Article overview:</w:t>
            </w:r>
            <w:r w:rsidRPr="00FC33BE">
              <w:t xml:space="preserve"> </w:t>
            </w:r>
            <w:r w:rsidR="00F92849">
              <w:t xml:space="preserve">In this article, the author investigates how improved water resource planning for new developments can benefit society and the environment, with a closer look at </w:t>
            </w:r>
            <w:r w:rsidR="00E57743">
              <w:t>the East of England region as an example of where water resource management strategies are particularly important.</w:t>
            </w:r>
          </w:p>
        </w:tc>
      </w:tr>
      <w:tr w:rsidR="0096705B" w:rsidRPr="008C066D" w14:paraId="784F5BC9" w14:textId="77777777" w:rsidTr="330AAA87">
        <w:trPr>
          <w:trHeight w:val="2560"/>
        </w:trPr>
        <w:tc>
          <w:tcPr>
            <w:tcW w:w="1701" w:type="dxa"/>
            <w:vMerge/>
          </w:tcPr>
          <w:p w14:paraId="19CA36C1" w14:textId="77777777" w:rsidR="0096705B" w:rsidRDefault="0096705B" w:rsidP="004C3ED2">
            <w:pPr>
              <w:rPr>
                <w:b/>
                <w:bCs/>
              </w:rPr>
            </w:pPr>
          </w:p>
        </w:tc>
        <w:tc>
          <w:tcPr>
            <w:tcW w:w="7797" w:type="dxa"/>
            <w:vAlign w:val="center"/>
          </w:tcPr>
          <w:p w14:paraId="235E5EE8" w14:textId="5549E9F5" w:rsidR="0096705B" w:rsidRDefault="00554484" w:rsidP="004C3ED2">
            <w:pPr>
              <w:pStyle w:val="ListParagraph"/>
              <w:numPr>
                <w:ilvl w:val="0"/>
                <w:numId w:val="3"/>
              </w:numPr>
              <w:spacing w:after="160" w:line="259" w:lineRule="auto"/>
            </w:pPr>
            <w:r>
              <w:t>Identify</w:t>
            </w:r>
            <w:r w:rsidR="00C222CC">
              <w:t xml:space="preserve"> </w:t>
            </w:r>
            <w:r w:rsidR="00E144A1">
              <w:t>three</w:t>
            </w:r>
            <w:r>
              <w:t xml:space="preserve"> plans being put in place to future-proof the East of England’s water resources.</w:t>
            </w:r>
          </w:p>
          <w:p w14:paraId="2CFCC74D" w14:textId="5D9DD0A4" w:rsidR="00554484" w:rsidRDefault="0063596E" w:rsidP="004C3ED2">
            <w:pPr>
              <w:pStyle w:val="ListParagraph"/>
              <w:numPr>
                <w:ilvl w:val="0"/>
                <w:numId w:val="3"/>
              </w:numPr>
              <w:spacing w:after="160" w:line="259" w:lineRule="auto"/>
            </w:pPr>
            <w:r>
              <w:t>Describe some of the ways in which</w:t>
            </w:r>
            <w:r w:rsidR="005076A0">
              <w:t xml:space="preserve"> water scarcity</w:t>
            </w:r>
            <w:r>
              <w:t xml:space="preserve"> has</w:t>
            </w:r>
            <w:r w:rsidR="005076A0">
              <w:t xml:space="preserve"> </w:t>
            </w:r>
            <w:r w:rsidR="005264A0">
              <w:t>impacted</w:t>
            </w:r>
            <w:r w:rsidR="005076A0">
              <w:t xml:space="preserve"> policy ambitions to</w:t>
            </w:r>
            <w:r>
              <w:t xml:space="preserve"> improve housing</w:t>
            </w:r>
            <w:r w:rsidR="00740353">
              <w:t>,</w:t>
            </w:r>
            <w:r w:rsidR="005264A0">
              <w:t xml:space="preserve"> </w:t>
            </w:r>
            <w:r w:rsidR="00740353">
              <w:t>and boost agriculture and energy production</w:t>
            </w:r>
            <w:r w:rsidR="005264A0">
              <w:t>,</w:t>
            </w:r>
            <w:r w:rsidR="00740353">
              <w:t xml:space="preserve"> </w:t>
            </w:r>
            <w:r>
              <w:t>in the East of England.</w:t>
            </w:r>
          </w:p>
          <w:p w14:paraId="015D6DF1" w14:textId="0F8E12D3" w:rsidR="0063596E" w:rsidRPr="00BD302E" w:rsidRDefault="00F83329" w:rsidP="004C3ED2">
            <w:pPr>
              <w:pStyle w:val="ListParagraph"/>
              <w:numPr>
                <w:ilvl w:val="0"/>
                <w:numId w:val="3"/>
              </w:numPr>
              <w:spacing w:after="160" w:line="259" w:lineRule="auto"/>
            </w:pPr>
            <w:r>
              <w:t xml:space="preserve">Analyse the solutions the author advocates for to address the scarcity crisis </w:t>
            </w:r>
            <w:r w:rsidR="00D72709">
              <w:t xml:space="preserve">in the latter half of the article. Evaluate how these solutions are </w:t>
            </w:r>
            <w:proofErr w:type="gramStart"/>
            <w:r w:rsidR="00D72709">
              <w:t>interlinked</w:t>
            </w:r>
            <w:r w:rsidR="00D44C94">
              <w:t>, and</w:t>
            </w:r>
            <w:proofErr w:type="gramEnd"/>
            <w:r w:rsidR="00D44C94">
              <w:t xml:space="preserve"> identify some of the benefits these solutions will carry for </w:t>
            </w:r>
            <w:r w:rsidR="00F41DE4">
              <w:t xml:space="preserve">different stakeholders (e.g. consumers, industry, and agriculture). </w:t>
            </w:r>
            <w:r>
              <w:t xml:space="preserve"> </w:t>
            </w:r>
          </w:p>
        </w:tc>
      </w:tr>
    </w:tbl>
    <w:p w14:paraId="178138CA" w14:textId="77777777" w:rsidR="0096705B" w:rsidRPr="00876C46" w:rsidRDefault="0096705B" w:rsidP="0096705B"/>
    <w:p w14:paraId="536C6BAF" w14:textId="77777777" w:rsidR="0096705B" w:rsidRDefault="0096705B" w:rsidP="0096705B"/>
    <w:p w14:paraId="016BEB4D" w14:textId="77777777" w:rsidR="0096705B" w:rsidRDefault="0096705B" w:rsidP="0096705B"/>
    <w:p w14:paraId="4D0B35EC" w14:textId="77777777" w:rsidR="00BF7C69" w:rsidRDefault="00BF7C69"/>
    <w:sectPr w:rsidR="00BF7C69" w:rsidSect="0096705B">
      <w:headerReference w:type="default" r:id="rId12"/>
      <w:pgSz w:w="11906" w:h="16838"/>
      <w:pgMar w:top="1559" w:right="1276"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5214E" w14:textId="77777777" w:rsidR="00D54607" w:rsidRDefault="00D54607">
      <w:pPr>
        <w:spacing w:after="0" w:line="240" w:lineRule="auto"/>
      </w:pPr>
      <w:r>
        <w:separator/>
      </w:r>
    </w:p>
  </w:endnote>
  <w:endnote w:type="continuationSeparator" w:id="0">
    <w:p w14:paraId="5D9E936A" w14:textId="77777777" w:rsidR="00D54607" w:rsidRDefault="00D546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0E332" w14:textId="77777777" w:rsidR="00D54607" w:rsidRDefault="00D54607">
      <w:pPr>
        <w:spacing w:after="0" w:line="240" w:lineRule="auto"/>
      </w:pPr>
      <w:r>
        <w:separator/>
      </w:r>
    </w:p>
  </w:footnote>
  <w:footnote w:type="continuationSeparator" w:id="0">
    <w:p w14:paraId="51C88E95" w14:textId="77777777" w:rsidR="00D54607" w:rsidRDefault="00D546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80FE9" w14:textId="77777777" w:rsidR="00F41DE4" w:rsidRDefault="00F41DE4">
    <w:pPr>
      <w:pStyle w:val="Header"/>
    </w:pPr>
    <w:r>
      <w:rPr>
        <w:noProof/>
        <w14:ligatures w14:val="standardContextual"/>
      </w:rPr>
      <w:drawing>
        <wp:anchor distT="0" distB="0" distL="114300" distR="114300" simplePos="0" relativeHeight="251660288" behindDoc="0" locked="0" layoutInCell="1" allowOverlap="1" wp14:anchorId="63A2E334" wp14:editId="7AF32D1C">
          <wp:simplePos x="0" y="0"/>
          <wp:positionH relativeFrom="margin">
            <wp:align>left</wp:align>
          </wp:positionH>
          <wp:positionV relativeFrom="paragraph">
            <wp:posOffset>-212090</wp:posOffset>
          </wp:positionV>
          <wp:extent cx="695325" cy="738505"/>
          <wp:effectExtent l="0" t="0" r="9525" b="4445"/>
          <wp:wrapSquare wrapText="bothSides"/>
          <wp:docPr id="1447868755" name="Picture 1447868755" descr="A logo with colorful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7868755" name="Picture 1" descr="A logo with colorful circle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95325" cy="738505"/>
                  </a:xfrm>
                  <a:prstGeom prst="rect">
                    <a:avLst/>
                  </a:prstGeom>
                </pic:spPr>
              </pic:pic>
            </a:graphicData>
          </a:graphic>
        </wp:anchor>
      </w:drawing>
    </w:r>
    <w:r>
      <w:rPr>
        <w:noProof/>
      </w:rPr>
      <w:drawing>
        <wp:anchor distT="0" distB="0" distL="114300" distR="114300" simplePos="0" relativeHeight="251659264" behindDoc="0" locked="0" layoutInCell="1" allowOverlap="1" wp14:anchorId="5E16889A" wp14:editId="2183587C">
          <wp:simplePos x="0" y="0"/>
          <wp:positionH relativeFrom="margin">
            <wp:align>right</wp:align>
          </wp:positionH>
          <wp:positionV relativeFrom="paragraph">
            <wp:posOffset>-240030</wp:posOffset>
          </wp:positionV>
          <wp:extent cx="548640" cy="707390"/>
          <wp:effectExtent l="0" t="0" r="381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8640" cy="70739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A7D1D"/>
    <w:multiLevelType w:val="hybridMultilevel"/>
    <w:tmpl w:val="F29A8F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41D7A62"/>
    <w:multiLevelType w:val="hybridMultilevel"/>
    <w:tmpl w:val="E950306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91E4EC4"/>
    <w:multiLevelType w:val="hybridMultilevel"/>
    <w:tmpl w:val="1B62E9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867311F"/>
    <w:multiLevelType w:val="hybridMultilevel"/>
    <w:tmpl w:val="672675C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631671476">
    <w:abstractNumId w:val="0"/>
  </w:num>
  <w:num w:numId="2" w16cid:durableId="1169835706">
    <w:abstractNumId w:val="1"/>
  </w:num>
  <w:num w:numId="3" w16cid:durableId="1373262442">
    <w:abstractNumId w:val="3"/>
  </w:num>
  <w:num w:numId="4" w16cid:durableId="11475533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05B"/>
    <w:rsid w:val="0009116A"/>
    <w:rsid w:val="000A5A4A"/>
    <w:rsid w:val="00196DB3"/>
    <w:rsid w:val="00215250"/>
    <w:rsid w:val="004B4A6A"/>
    <w:rsid w:val="0050487E"/>
    <w:rsid w:val="005076A0"/>
    <w:rsid w:val="005264A0"/>
    <w:rsid w:val="00554484"/>
    <w:rsid w:val="00575B22"/>
    <w:rsid w:val="00602BEE"/>
    <w:rsid w:val="00607B82"/>
    <w:rsid w:val="0063596E"/>
    <w:rsid w:val="00644306"/>
    <w:rsid w:val="006C1F21"/>
    <w:rsid w:val="006F095A"/>
    <w:rsid w:val="006F3585"/>
    <w:rsid w:val="006F7C42"/>
    <w:rsid w:val="00740353"/>
    <w:rsid w:val="0074429B"/>
    <w:rsid w:val="00786A66"/>
    <w:rsid w:val="007C15B0"/>
    <w:rsid w:val="007C18A8"/>
    <w:rsid w:val="007F6277"/>
    <w:rsid w:val="00855EBA"/>
    <w:rsid w:val="00965FF2"/>
    <w:rsid w:val="0096705B"/>
    <w:rsid w:val="00A07ADC"/>
    <w:rsid w:val="00AF2128"/>
    <w:rsid w:val="00B000BD"/>
    <w:rsid w:val="00BF7C69"/>
    <w:rsid w:val="00C222CC"/>
    <w:rsid w:val="00C93364"/>
    <w:rsid w:val="00CD3052"/>
    <w:rsid w:val="00CD4F95"/>
    <w:rsid w:val="00CE3369"/>
    <w:rsid w:val="00D44C94"/>
    <w:rsid w:val="00D52566"/>
    <w:rsid w:val="00D54607"/>
    <w:rsid w:val="00D72709"/>
    <w:rsid w:val="00E144A1"/>
    <w:rsid w:val="00E17A3B"/>
    <w:rsid w:val="00E57743"/>
    <w:rsid w:val="00E65E51"/>
    <w:rsid w:val="00EA778F"/>
    <w:rsid w:val="00F11B37"/>
    <w:rsid w:val="00F41DE4"/>
    <w:rsid w:val="00F83329"/>
    <w:rsid w:val="00F92849"/>
    <w:rsid w:val="330AAA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6FF41"/>
  <w15:chartTrackingRefBased/>
  <w15:docId w15:val="{6C2AAFF4-C7FA-49A1-966B-AA3B58969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705B"/>
    <w:rPr>
      <w:kern w:val="0"/>
      <w14:ligatures w14:val="none"/>
    </w:rPr>
  </w:style>
  <w:style w:type="paragraph" w:styleId="Heading1">
    <w:name w:val="heading 1"/>
    <w:basedOn w:val="Normal"/>
    <w:next w:val="Normal"/>
    <w:link w:val="Heading1Char"/>
    <w:uiPriority w:val="9"/>
    <w:qFormat/>
    <w:rsid w:val="0096705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6705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6705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6705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6705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6705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6705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6705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6705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705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6705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6705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6705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6705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6705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6705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6705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6705B"/>
    <w:rPr>
      <w:rFonts w:eastAsiaTheme="majorEastAsia" w:cstheme="majorBidi"/>
      <w:color w:val="272727" w:themeColor="text1" w:themeTint="D8"/>
    </w:rPr>
  </w:style>
  <w:style w:type="paragraph" w:styleId="Title">
    <w:name w:val="Title"/>
    <w:basedOn w:val="Normal"/>
    <w:next w:val="Normal"/>
    <w:link w:val="TitleChar"/>
    <w:uiPriority w:val="10"/>
    <w:qFormat/>
    <w:rsid w:val="009670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705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705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6705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6705B"/>
    <w:pPr>
      <w:spacing w:before="160"/>
      <w:jc w:val="center"/>
    </w:pPr>
    <w:rPr>
      <w:i/>
      <w:iCs/>
      <w:color w:val="404040" w:themeColor="text1" w:themeTint="BF"/>
    </w:rPr>
  </w:style>
  <w:style w:type="character" w:customStyle="1" w:styleId="QuoteChar">
    <w:name w:val="Quote Char"/>
    <w:basedOn w:val="DefaultParagraphFont"/>
    <w:link w:val="Quote"/>
    <w:uiPriority w:val="29"/>
    <w:rsid w:val="0096705B"/>
    <w:rPr>
      <w:i/>
      <w:iCs/>
      <w:color w:val="404040" w:themeColor="text1" w:themeTint="BF"/>
    </w:rPr>
  </w:style>
  <w:style w:type="paragraph" w:styleId="ListParagraph">
    <w:name w:val="List Paragraph"/>
    <w:basedOn w:val="Normal"/>
    <w:uiPriority w:val="34"/>
    <w:qFormat/>
    <w:rsid w:val="0096705B"/>
    <w:pPr>
      <w:ind w:left="720"/>
      <w:contextualSpacing/>
    </w:pPr>
  </w:style>
  <w:style w:type="character" w:styleId="IntenseEmphasis">
    <w:name w:val="Intense Emphasis"/>
    <w:basedOn w:val="DefaultParagraphFont"/>
    <w:uiPriority w:val="21"/>
    <w:qFormat/>
    <w:rsid w:val="0096705B"/>
    <w:rPr>
      <w:i/>
      <w:iCs/>
      <w:color w:val="2F5496" w:themeColor="accent1" w:themeShade="BF"/>
    </w:rPr>
  </w:style>
  <w:style w:type="paragraph" w:styleId="IntenseQuote">
    <w:name w:val="Intense Quote"/>
    <w:basedOn w:val="Normal"/>
    <w:next w:val="Normal"/>
    <w:link w:val="IntenseQuoteChar"/>
    <w:uiPriority w:val="30"/>
    <w:qFormat/>
    <w:rsid w:val="009670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6705B"/>
    <w:rPr>
      <w:i/>
      <w:iCs/>
      <w:color w:val="2F5496" w:themeColor="accent1" w:themeShade="BF"/>
    </w:rPr>
  </w:style>
  <w:style w:type="character" w:styleId="IntenseReference">
    <w:name w:val="Intense Reference"/>
    <w:basedOn w:val="DefaultParagraphFont"/>
    <w:uiPriority w:val="32"/>
    <w:qFormat/>
    <w:rsid w:val="0096705B"/>
    <w:rPr>
      <w:b/>
      <w:bCs/>
      <w:smallCaps/>
      <w:color w:val="2F5496" w:themeColor="accent1" w:themeShade="BF"/>
      <w:spacing w:val="5"/>
    </w:rPr>
  </w:style>
  <w:style w:type="table" w:styleId="TableGrid">
    <w:name w:val="Table Grid"/>
    <w:basedOn w:val="TableNormal"/>
    <w:uiPriority w:val="39"/>
    <w:rsid w:val="0096705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6705B"/>
    <w:pPr>
      <w:spacing w:after="0" w:line="240" w:lineRule="auto"/>
    </w:pPr>
    <w:rPr>
      <w:kern w:val="0"/>
      <w14:ligatures w14:val="none"/>
    </w:rPr>
  </w:style>
  <w:style w:type="character" w:styleId="Hyperlink">
    <w:name w:val="Hyperlink"/>
    <w:basedOn w:val="DefaultParagraphFont"/>
    <w:uiPriority w:val="99"/>
    <w:unhideWhenUsed/>
    <w:rsid w:val="0096705B"/>
    <w:rPr>
      <w:color w:val="0000FF"/>
      <w:u w:val="single"/>
    </w:rPr>
  </w:style>
  <w:style w:type="paragraph" w:styleId="Header">
    <w:name w:val="header"/>
    <w:basedOn w:val="Normal"/>
    <w:link w:val="HeaderChar"/>
    <w:uiPriority w:val="99"/>
    <w:unhideWhenUsed/>
    <w:rsid w:val="009670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705B"/>
    <w:rPr>
      <w:kern w:val="0"/>
      <w14:ligatures w14:val="none"/>
    </w:rPr>
  </w:style>
  <w:style w:type="character" w:styleId="UnresolvedMention">
    <w:name w:val="Unresolved Mention"/>
    <w:basedOn w:val="DefaultParagraphFont"/>
    <w:uiPriority w:val="99"/>
    <w:semiHidden/>
    <w:unhideWhenUsed/>
    <w:rsid w:val="00CE33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he-ies.org/resources/watertight-solutions"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f2531c7-eb33-48be-9889-ee787ffa7851">
      <Terms xmlns="http://schemas.microsoft.com/office/infopath/2007/PartnerControls"/>
    </lcf76f155ced4ddcb4097134ff3c332f>
    <TaxCatchAll xmlns="36d7926d-c934-413c-9e6d-038f771d3aa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50CBEE1702AD04E9E39FB20318EB1B8" ma:contentTypeVersion="18" ma:contentTypeDescription="Create a new document." ma:contentTypeScope="" ma:versionID="d1adc84a6638ffa5e6aee933bdd65bd3">
  <xsd:schema xmlns:xsd="http://www.w3.org/2001/XMLSchema" xmlns:xs="http://www.w3.org/2001/XMLSchema" xmlns:p="http://schemas.microsoft.com/office/2006/metadata/properties" xmlns:ns2="af2531c7-eb33-48be-9889-ee787ffa7851" xmlns:ns3="36d7926d-c934-413c-9e6d-038f771d3aae" targetNamespace="http://schemas.microsoft.com/office/2006/metadata/properties" ma:root="true" ma:fieldsID="96c03a4dfcc5d6754b956c2bf92421af" ns2:_="" ns3:_="">
    <xsd:import namespace="af2531c7-eb33-48be-9889-ee787ffa7851"/>
    <xsd:import namespace="36d7926d-c934-413c-9e6d-038f771d3aa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2531c7-eb33-48be-9889-ee787ffa78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6fb1273-ba6e-4f62-97de-97f23fcf3cbc"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d7926d-c934-413c-9e6d-038f771d3aa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d7845a0-c36c-4b7a-8df5-0d2d7e2599f0}" ma:internalName="TaxCatchAll" ma:showField="CatchAllData" ma:web="36d7926d-c934-413c-9e6d-038f771d3a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D1B46B-A53E-44C2-AE32-AFFE044E843C}">
  <ds:schemaRefs>
    <ds:schemaRef ds:uri="http://schemas.microsoft.com/office/2006/metadata/properties"/>
    <ds:schemaRef ds:uri="http://schemas.microsoft.com/office/infopath/2007/PartnerControls"/>
    <ds:schemaRef ds:uri="af2531c7-eb33-48be-9889-ee787ffa7851"/>
    <ds:schemaRef ds:uri="36d7926d-c934-413c-9e6d-038f771d3aae"/>
  </ds:schemaRefs>
</ds:datastoreItem>
</file>

<file path=customXml/itemProps2.xml><?xml version="1.0" encoding="utf-8"?>
<ds:datastoreItem xmlns:ds="http://schemas.openxmlformats.org/officeDocument/2006/customXml" ds:itemID="{65A9C790-19D6-4307-B364-29CB61F3F819}">
  <ds:schemaRefs>
    <ds:schemaRef ds:uri="http://schemas.microsoft.com/sharepoint/v3/contenttype/forms"/>
  </ds:schemaRefs>
</ds:datastoreItem>
</file>

<file path=customXml/itemProps3.xml><?xml version="1.0" encoding="utf-8"?>
<ds:datastoreItem xmlns:ds="http://schemas.openxmlformats.org/officeDocument/2006/customXml" ds:itemID="{98F03C15-0587-42BA-BEEB-EA44DB9AC9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2531c7-eb33-48be-9889-ee787ffa7851"/>
    <ds:schemaRef ds:uri="36d7926d-c934-413c-9e6d-038f771d3a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790</Words>
  <Characters>4505</Characters>
  <Application>Microsoft Office Word</Application>
  <DocSecurity>0</DocSecurity>
  <Lines>37</Lines>
  <Paragraphs>10</Paragraphs>
  <ScaleCrop>false</ScaleCrop>
  <Company/>
  <LinksUpToDate>false</LinksUpToDate>
  <CharactersWithSpaces>5285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Rowland</dc:creator>
  <cp:keywords/>
  <dc:description/>
  <cp:lastModifiedBy>Lucy Rowland</cp:lastModifiedBy>
  <cp:revision>44</cp:revision>
  <dcterms:created xsi:type="dcterms:W3CDTF">2024-02-29T15:32:00Z</dcterms:created>
  <dcterms:modified xsi:type="dcterms:W3CDTF">2024-03-05T09:16:00Z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0x010100D50CBEE1702AD04E9E39FB20318EB1B8</vt:lpwstr>
  </property>
  <property fmtid="{D5CDD505-2E9C-101B-9397-08002B2CF9AE}" pid="3" name="MediaServiceImageTags">
    <vt:lpwstr/>
  </property>
</Properties>
</file>